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24D807A" w14:textId="77777777" w:rsidR="005B2018" w:rsidRDefault="005B2018">
      <w:pPr>
        <w:tabs>
          <w:tab w:val="left" w:pos="1710"/>
        </w:tabs>
        <w:ind w:left="-1800" w:right="-1800"/>
        <w:rPr>
          <w:rFonts w:ascii="Arial" w:hAnsi="Arial"/>
          <w:sz w:val="18"/>
        </w:rPr>
      </w:pPr>
    </w:p>
    <w:p w14:paraId="12467CA0" w14:textId="77777777" w:rsidR="005B2018" w:rsidRDefault="004809E5" w:rsidP="004809E5">
      <w:pPr>
        <w:spacing w:line="360" w:lineRule="auto"/>
        <w:ind w:left="-1260"/>
        <w:rPr>
          <w:rFonts w:ascii="Arial" w:hAnsi="Arial"/>
          <w:sz w:val="18"/>
        </w:rPr>
      </w:pPr>
      <w:r>
        <w:pict w14:anchorId="73CAC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4pt;margin-top:-.3pt;width:544.05pt;height:101.4pt;z-index:-251659264">
            <v:imagedata r:id="rId7" o:title="NOA-ltrhd2015-rgb"/>
          </v:shape>
        </w:pict>
      </w:r>
    </w:p>
    <w:p w14:paraId="3527B15C" w14:textId="77777777" w:rsidR="005B2018" w:rsidRDefault="005B2018">
      <w:pPr>
        <w:spacing w:line="360" w:lineRule="auto"/>
        <w:rPr>
          <w:rFonts w:ascii="Arial" w:hAnsi="Arial"/>
          <w:sz w:val="18"/>
        </w:rPr>
      </w:pPr>
    </w:p>
    <w:p w14:paraId="4ECBE8D8" w14:textId="77777777" w:rsidR="005B2018" w:rsidRDefault="005B2018">
      <w:pPr>
        <w:spacing w:line="360" w:lineRule="auto"/>
        <w:rPr>
          <w:rFonts w:ascii="Arial" w:hAnsi="Arial"/>
          <w:sz w:val="18"/>
        </w:rPr>
      </w:pPr>
    </w:p>
    <w:p w14:paraId="7FB078D0" w14:textId="77777777" w:rsidR="00B8277B" w:rsidRDefault="00B8277B" w:rsidP="00B8277B">
      <w:pPr>
        <w:spacing w:before="100" w:beforeAutospacing="1" w:after="100" w:afterAutospacing="1"/>
        <w:rPr>
          <w:rFonts w:ascii="Calibri" w:hAnsi="Calibri"/>
          <w:b/>
          <w:bCs/>
          <w:color w:val="000000"/>
          <w:sz w:val="28"/>
          <w:szCs w:val="28"/>
        </w:rPr>
      </w:pPr>
    </w:p>
    <w:p w14:paraId="3017B54E" w14:textId="77777777" w:rsidR="00B8277B" w:rsidRDefault="00B8277B" w:rsidP="00B8277B">
      <w:pPr>
        <w:spacing w:before="100" w:beforeAutospacing="1" w:after="100" w:afterAutospacing="1"/>
        <w:rPr>
          <w:rFonts w:ascii="Calibri" w:hAnsi="Calibri"/>
          <w:b/>
          <w:bCs/>
          <w:color w:val="000000"/>
          <w:sz w:val="28"/>
          <w:szCs w:val="28"/>
        </w:rPr>
      </w:pPr>
    </w:p>
    <w:p w14:paraId="189340FD" w14:textId="77777777" w:rsidR="00B8277B" w:rsidRDefault="00B8277B" w:rsidP="00B8277B">
      <w:pPr>
        <w:spacing w:before="100" w:beforeAutospacing="1" w:after="100" w:afterAutospacing="1"/>
        <w:rPr>
          <w:rFonts w:ascii="Calibri" w:hAnsi="Calibri"/>
          <w:b/>
          <w:bCs/>
          <w:color w:val="000000"/>
          <w:sz w:val="28"/>
          <w:szCs w:val="28"/>
        </w:rPr>
      </w:pPr>
      <w:r w:rsidRPr="00822AB5">
        <w:rPr>
          <w:rFonts w:ascii="Calibri" w:hAnsi="Calibri"/>
          <w:b/>
          <w:bCs/>
          <w:color w:val="000000"/>
          <w:sz w:val="28"/>
          <w:szCs w:val="28"/>
        </w:rPr>
        <w:t xml:space="preserve">What the Tax Reform </w:t>
      </w:r>
      <w:r>
        <w:rPr>
          <w:rFonts w:ascii="Calibri" w:hAnsi="Calibri"/>
          <w:b/>
          <w:bCs/>
          <w:color w:val="000000"/>
          <w:sz w:val="28"/>
          <w:szCs w:val="28"/>
        </w:rPr>
        <w:t>Act</w:t>
      </w:r>
      <w:r w:rsidRPr="00822AB5">
        <w:rPr>
          <w:rFonts w:ascii="Calibri" w:hAnsi="Calibri"/>
          <w:b/>
          <w:bCs/>
          <w:color w:val="000000"/>
          <w:sz w:val="28"/>
          <w:szCs w:val="28"/>
        </w:rPr>
        <w:t xml:space="preserve"> Means for You</w:t>
      </w:r>
    </w:p>
    <w:p w14:paraId="6430E09B" w14:textId="77777777" w:rsidR="00B8277B" w:rsidRPr="00FC529F" w:rsidRDefault="00B8277B" w:rsidP="00B8277B">
      <w:pPr>
        <w:spacing w:before="100" w:beforeAutospacing="1" w:after="100" w:afterAutospacing="1"/>
        <w:rPr>
          <w:rFonts w:ascii="Calibri" w:hAnsi="Calibri"/>
          <w:color w:val="000000"/>
          <w:sz w:val="20"/>
        </w:rPr>
      </w:pPr>
      <w:r w:rsidRPr="00FC529F">
        <w:rPr>
          <w:rFonts w:ascii="Calibri" w:hAnsi="Calibri"/>
          <w:color w:val="000000"/>
          <w:sz w:val="20"/>
        </w:rPr>
        <w:t>Congress has passed a tax reform act that will take effect in 2018, ushering in some of the most significant tax changes in three decades. There are a lot of changes in the new act, which was signed into law on Dec</w:t>
      </w:r>
      <w:r w:rsidR="003A5F3C">
        <w:rPr>
          <w:rFonts w:ascii="Calibri" w:hAnsi="Calibri"/>
          <w:color w:val="000000"/>
          <w:sz w:val="20"/>
        </w:rPr>
        <w:t>ember</w:t>
      </w:r>
      <w:r w:rsidRPr="00FC529F">
        <w:rPr>
          <w:rFonts w:ascii="Calibri" w:hAnsi="Calibri"/>
          <w:color w:val="000000"/>
          <w:sz w:val="20"/>
        </w:rPr>
        <w:t xml:space="preserve"> 22, 2017. </w:t>
      </w:r>
    </w:p>
    <w:p w14:paraId="42258B13" w14:textId="77777777" w:rsidR="00B8277B" w:rsidRPr="00FC529F" w:rsidRDefault="00B8277B" w:rsidP="00B8277B">
      <w:pPr>
        <w:spacing w:before="100" w:beforeAutospacing="1" w:after="100" w:afterAutospacing="1"/>
        <w:rPr>
          <w:rFonts w:ascii="Calibri" w:hAnsi="Calibri"/>
          <w:color w:val="000000"/>
          <w:sz w:val="20"/>
        </w:rPr>
      </w:pPr>
      <w:r w:rsidRPr="00FC529F">
        <w:rPr>
          <w:rFonts w:ascii="Calibri" w:hAnsi="Calibri"/>
          <w:color w:val="000000"/>
          <w:sz w:val="20"/>
        </w:rPr>
        <w:t xml:space="preserve">This brief summary of some of the most significant items in the new act is provided for your information. </w:t>
      </w:r>
    </w:p>
    <w:p w14:paraId="35553FE7" w14:textId="77777777" w:rsidR="00B8277B" w:rsidRPr="00FC529F" w:rsidRDefault="00B8277B" w:rsidP="00B8277B">
      <w:pPr>
        <w:spacing w:before="100" w:beforeAutospacing="1" w:after="100" w:afterAutospacing="1"/>
        <w:rPr>
          <w:rFonts w:ascii="Calibri" w:hAnsi="Calibri"/>
          <w:color w:val="000000"/>
          <w:sz w:val="20"/>
        </w:rPr>
      </w:pPr>
      <w:r w:rsidRPr="00FC529F">
        <w:rPr>
          <w:rFonts w:ascii="Calibri" w:hAnsi="Calibri"/>
          <w:b/>
          <w:bCs/>
          <w:color w:val="000000"/>
          <w:sz w:val="20"/>
        </w:rPr>
        <w:t>Key changes for individuals:</w:t>
      </w:r>
    </w:p>
    <w:p w14:paraId="22815F41" w14:textId="77777777" w:rsidR="00B8277B" w:rsidRPr="00FC529F" w:rsidRDefault="00B8277B" w:rsidP="00B8277B">
      <w:pPr>
        <w:spacing w:before="100" w:beforeAutospacing="1" w:after="100" w:afterAutospacing="1"/>
        <w:rPr>
          <w:rFonts w:ascii="Calibri" w:hAnsi="Calibri"/>
          <w:color w:val="000000"/>
          <w:sz w:val="20"/>
        </w:rPr>
      </w:pPr>
      <w:r w:rsidRPr="00FC529F">
        <w:rPr>
          <w:rFonts w:ascii="Calibri" w:hAnsi="Calibri"/>
          <w:color w:val="000000"/>
          <w:sz w:val="20"/>
        </w:rPr>
        <w:t>Here are some of the key items in the tax reform act that affect individuals:</w:t>
      </w:r>
    </w:p>
    <w:p w14:paraId="58300E63" w14:textId="77777777" w:rsidR="00B8277B" w:rsidRPr="00FC529F" w:rsidRDefault="00B8277B" w:rsidP="00B8277B">
      <w:pPr>
        <w:numPr>
          <w:ilvl w:val="0"/>
          <w:numId w:val="1"/>
        </w:numPr>
        <w:spacing w:before="100" w:beforeAutospacing="1" w:after="100" w:afterAutospacing="1"/>
        <w:rPr>
          <w:rFonts w:ascii="Calibri" w:eastAsia="Times New Roman" w:hAnsi="Calibri"/>
          <w:color w:val="000000"/>
          <w:sz w:val="20"/>
        </w:rPr>
      </w:pPr>
      <w:r w:rsidRPr="00FC529F">
        <w:rPr>
          <w:rFonts w:ascii="Calibri" w:eastAsia="Times New Roman" w:hAnsi="Calibri"/>
          <w:b/>
          <w:bCs/>
          <w:color w:val="000000"/>
          <w:sz w:val="20"/>
        </w:rPr>
        <w:t>Reduces income tax brackets:</w:t>
      </w:r>
      <w:r w:rsidRPr="00FC529F">
        <w:rPr>
          <w:rFonts w:ascii="Calibri" w:eastAsia="Times New Roman" w:hAnsi="Calibri"/>
          <w:color w:val="000000"/>
          <w:sz w:val="20"/>
        </w:rPr>
        <w:t xml:space="preserve"> The act retains seven brackets, but at reduced rates, with the highest tax bracket dropping to 37 percent from 39.6 percent. The individual income brackets are also expanded to expose more income to lower rates (see charts below).</w:t>
      </w:r>
    </w:p>
    <w:p w14:paraId="46A4DAA2"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bCs/>
          <w:color w:val="000000"/>
          <w:sz w:val="20"/>
        </w:rPr>
        <w:t>Doubles standard deductions:</w:t>
      </w:r>
      <w:r w:rsidRPr="00FC529F">
        <w:rPr>
          <w:rFonts w:ascii="Calibri" w:eastAsia="Times New Roman" w:hAnsi="Calibri"/>
          <w:color w:val="000000"/>
          <w:sz w:val="20"/>
        </w:rPr>
        <w:t xml:space="preserve"> The standard deduction nearly doubles to $12,000 for single filers and $24,000 for married filing jointly. To help cover the cost, personal exemptions and most additional standard deductions are suspended.</w:t>
      </w:r>
    </w:p>
    <w:p w14:paraId="3D645D8E"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Limits itemized deductions: </w:t>
      </w:r>
      <w:r w:rsidRPr="00FC529F">
        <w:rPr>
          <w:rFonts w:ascii="Calibri" w:eastAsia="Times New Roman" w:hAnsi="Calibri"/>
          <w:color w:val="000000"/>
          <w:sz w:val="20"/>
        </w:rPr>
        <w:t>Many itemized deductions are no longer available, or are now limited. Here are some of the major examples:</w:t>
      </w:r>
    </w:p>
    <w:p w14:paraId="4E65EF38" w14:textId="77777777" w:rsidR="00B8277B" w:rsidRPr="00FC529F" w:rsidRDefault="00B8277B" w:rsidP="00B8277B">
      <w:pPr>
        <w:numPr>
          <w:ilvl w:val="1"/>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Caps state and local tax deductions: </w:t>
      </w:r>
      <w:r w:rsidRPr="00FC529F">
        <w:rPr>
          <w:rFonts w:ascii="Calibri" w:eastAsia="Times New Roman" w:hAnsi="Calibri"/>
          <w:color w:val="000000"/>
          <w:sz w:val="20"/>
        </w:rPr>
        <w:t>State and local tax deductions are limited to $10,000 total for all property, income and sales taxes.</w:t>
      </w:r>
    </w:p>
    <w:p w14:paraId="379720FE" w14:textId="77777777" w:rsidR="00B8277B" w:rsidRPr="00FC529F" w:rsidRDefault="00B8277B" w:rsidP="00B8277B">
      <w:pPr>
        <w:numPr>
          <w:ilvl w:val="1"/>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Caps mortgage interest deductions: </w:t>
      </w:r>
      <w:r w:rsidRPr="00FC529F">
        <w:rPr>
          <w:rFonts w:ascii="Calibri" w:eastAsia="Times New Roman" w:hAnsi="Calibri"/>
          <w:color w:val="000000"/>
          <w:sz w:val="20"/>
        </w:rPr>
        <w:t>For new acquisition indebtedness, m</w:t>
      </w:r>
      <w:r w:rsidRPr="00FC529F">
        <w:rPr>
          <w:rFonts w:ascii="Calibri" w:hAnsi="Calibri" w:cs="Calibri"/>
          <w:sz w:val="20"/>
        </w:rPr>
        <w:t>ortgage interest will be deductible on indebtedness of no more than $750,000. Existing mortgages are unaffected by the new cap as the new limits go into place for acquisition indebtedness after Dec. 14, 2017. The act also suspends the deductibility of interest on home equity debt.</w:t>
      </w:r>
    </w:p>
    <w:p w14:paraId="3BD98E75" w14:textId="77777777" w:rsidR="00B8277B" w:rsidRPr="00FC529F" w:rsidRDefault="00B8277B" w:rsidP="00B8277B">
      <w:pPr>
        <w:numPr>
          <w:ilvl w:val="1"/>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No more 2 percent miscellaneous deductions:</w:t>
      </w:r>
      <w:r w:rsidRPr="00FC529F">
        <w:rPr>
          <w:rFonts w:ascii="Calibri" w:eastAsia="Times New Roman" w:hAnsi="Calibri"/>
          <w:color w:val="000000"/>
          <w:sz w:val="20"/>
        </w:rPr>
        <w:t xml:space="preserve"> Most miscellaneous deductions subject to the 2 percent of adjusted gross income threshold are now gone.</w:t>
      </w:r>
    </w:p>
    <w:p w14:paraId="243B04B5" w14:textId="77777777" w:rsidR="00B8277B" w:rsidRPr="00FC529F" w:rsidRDefault="00B8277B" w:rsidP="00B8277B">
      <w:pPr>
        <w:spacing w:before="100" w:beforeAutospacing="1" w:after="240"/>
        <w:ind w:left="360"/>
        <w:rPr>
          <w:rFonts w:ascii="Calibri" w:eastAsia="Times New Roman" w:hAnsi="Calibri"/>
          <w:color w:val="000000"/>
          <w:sz w:val="20"/>
        </w:rPr>
      </w:pPr>
      <w:r w:rsidRPr="00FC529F">
        <w:rPr>
          <w:rFonts w:ascii="Calibri" w:eastAsia="Times New Roman" w:hAnsi="Calibri"/>
          <w:i/>
          <w:iCs/>
          <w:color w:val="000000"/>
          <w:sz w:val="20"/>
        </w:rPr>
        <w:t xml:space="preserve">Tip: If you’re used to itemizing your return, that may change in coming years as the doubled standard deduction and reduced deductions make itemizing less attractive. </w:t>
      </w:r>
    </w:p>
    <w:p w14:paraId="0730644E"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Cuts some above-the-line deductions: </w:t>
      </w:r>
      <w:r w:rsidRPr="00FC529F">
        <w:rPr>
          <w:rFonts w:ascii="Calibri" w:eastAsia="Times New Roman" w:hAnsi="Calibri"/>
          <w:color w:val="000000"/>
          <w:sz w:val="20"/>
        </w:rPr>
        <w:t>Moving expense deductions get eliminated except for active-duty military personnel, along with alimony deductions beginning in 2019.</w:t>
      </w:r>
    </w:p>
    <w:p w14:paraId="6684C1ED"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Weakens the alternative minimum tax (AMT):</w:t>
      </w:r>
      <w:r w:rsidRPr="00FC529F">
        <w:rPr>
          <w:rFonts w:ascii="Calibri" w:eastAsia="Times New Roman" w:hAnsi="Calibri"/>
          <w:color w:val="000000"/>
          <w:sz w:val="20"/>
        </w:rPr>
        <w:t xml:space="preserve"> The act retains the alternative minimum tax but changes the exemption to $109,400 for joint filers and increases the phaseout threshold to $1 million. The changes mean the AMT will affect far fewer people than before.</w:t>
      </w:r>
    </w:p>
    <w:p w14:paraId="0E1086C7"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Bumps up child tax credit, adds family tax credit: </w:t>
      </w:r>
      <w:r w:rsidRPr="00FC529F">
        <w:rPr>
          <w:rFonts w:ascii="Calibri" w:eastAsia="Times New Roman" w:hAnsi="Calibri"/>
          <w:color w:val="000000"/>
          <w:sz w:val="20"/>
        </w:rPr>
        <w:t>The child tax credit increases to $2,000 from $1,000, with $1,400 of it being refundable even if no tax is owed. The phaseout threshold increases sharply to $400,000 from $110,000 for joint filers, making it available to more taxpayers. Also, dependents ineligible for the child tax credit can qualify for a new $500-per-person family tax credit.</w:t>
      </w:r>
    </w:p>
    <w:p w14:paraId="2B0F466D"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Expands use of 529 education savings plans: </w:t>
      </w:r>
      <w:r w:rsidRPr="00FC529F">
        <w:rPr>
          <w:rFonts w:ascii="Calibri" w:eastAsia="Times New Roman" w:hAnsi="Calibri"/>
          <w:color w:val="000000"/>
          <w:sz w:val="20"/>
        </w:rPr>
        <w:t>Qualified distributions from 529 education savings plans, which are not subject to tax, now include tuition payments for students in K-12 private schools.</w:t>
      </w:r>
    </w:p>
    <w:p w14:paraId="040D9E0A" w14:textId="77777777" w:rsidR="00B8277B" w:rsidRPr="00FC529F" w:rsidRDefault="003A5F3C" w:rsidP="00B8277B">
      <w:pPr>
        <w:numPr>
          <w:ilvl w:val="0"/>
          <w:numId w:val="1"/>
        </w:numPr>
        <w:spacing w:before="100" w:beforeAutospacing="1" w:after="240"/>
        <w:contextualSpacing/>
        <w:rPr>
          <w:rFonts w:ascii="Calibri" w:eastAsia="Times New Roman" w:hAnsi="Calibri"/>
          <w:color w:val="000000"/>
          <w:sz w:val="20"/>
        </w:rPr>
      </w:pPr>
      <w:r>
        <w:rPr>
          <w:rFonts w:ascii="Calibri" w:eastAsia="Times New Roman" w:hAnsi="Calibri"/>
          <w:b/>
          <w:color w:val="000000"/>
          <w:sz w:val="20"/>
        </w:rPr>
        <w:lastRenderedPageBreak/>
        <w:pict w14:anchorId="467219AB">
          <v:shape id="_x0000_s1032" type="#_x0000_t75" style="position:absolute;left:0;text-align:left;margin-left:0;margin-top:706.1pt;width:608.5pt;height:85.9pt;z-index:251661312;mso-wrap-edited:f;mso-position-horizontal-relative:page;mso-position-vertical-relative:page" wrapcoords="-37 0 -37 21066 21600 21066 21600 0 -37 0">
            <v:imagedata r:id="rId8" o:title="NOA-ltrhd2ND-olRGB-2017-01"/>
            <w10:wrap type="through"/>
          </v:shape>
        </w:pict>
      </w:r>
      <w:r w:rsidR="00B8277B" w:rsidRPr="00FC529F">
        <w:rPr>
          <w:rFonts w:ascii="Calibri" w:eastAsia="Times New Roman" w:hAnsi="Calibri"/>
          <w:b/>
          <w:color w:val="000000"/>
          <w:sz w:val="20"/>
        </w:rPr>
        <w:t xml:space="preserve">Doubles estate tax exemption: </w:t>
      </w:r>
      <w:r w:rsidR="00B8277B" w:rsidRPr="00FC529F">
        <w:rPr>
          <w:rFonts w:ascii="Calibri" w:eastAsia="Times New Roman" w:hAnsi="Calibri"/>
          <w:color w:val="000000"/>
          <w:sz w:val="20"/>
        </w:rPr>
        <w:t xml:space="preserve">Estate taxes will apply to even fewer people, with the exemption doubled to $11.2 million ($22.4 million for married couples). </w:t>
      </w:r>
    </w:p>
    <w:p w14:paraId="1974A254"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Kiddie tax: </w:t>
      </w:r>
      <w:r w:rsidRPr="00FC529F">
        <w:rPr>
          <w:rFonts w:ascii="Calibri" w:eastAsia="Times New Roman" w:hAnsi="Calibri"/>
          <w:color w:val="000000"/>
          <w:sz w:val="20"/>
        </w:rPr>
        <w:t>Effective 2018, the “kiddie tax” on children’s unearned income will use the estates and trusts tax rate structure, meaning it will be taxed anywhere from 10 percent to 37 percent.</w:t>
      </w:r>
    </w:p>
    <w:p w14:paraId="2A8428F0" w14:textId="77777777" w:rsidR="00B8277B" w:rsidRPr="00FC529F" w:rsidRDefault="00B8277B" w:rsidP="00B8277B">
      <w:pPr>
        <w:spacing w:before="100" w:beforeAutospacing="1" w:after="100" w:afterAutospacing="1"/>
        <w:rPr>
          <w:rFonts w:ascii="Calibri" w:hAnsi="Calibri"/>
          <w:b/>
          <w:bCs/>
          <w:color w:val="000000"/>
          <w:sz w:val="20"/>
        </w:rPr>
      </w:pPr>
    </w:p>
    <w:p w14:paraId="2B235069" w14:textId="77777777" w:rsidR="00B8277B" w:rsidRPr="00FC529F" w:rsidRDefault="00B8277B" w:rsidP="00B8277B">
      <w:pPr>
        <w:spacing w:before="100" w:beforeAutospacing="1" w:after="100" w:afterAutospacing="1"/>
        <w:rPr>
          <w:rFonts w:ascii="Calibri" w:hAnsi="Calibri"/>
          <w:b/>
          <w:bCs/>
          <w:color w:val="000000"/>
          <w:sz w:val="20"/>
        </w:rPr>
      </w:pPr>
      <w:r w:rsidRPr="00FC529F">
        <w:rPr>
          <w:rFonts w:ascii="Calibri" w:hAnsi="Calibri"/>
          <w:b/>
          <w:bCs/>
          <w:color w:val="000000"/>
          <w:sz w:val="20"/>
        </w:rPr>
        <w:t>What stays the same for individuals:</w:t>
      </w:r>
    </w:p>
    <w:p w14:paraId="04D0A217" w14:textId="77777777" w:rsidR="00B8277B" w:rsidRPr="00FC529F" w:rsidRDefault="00B8277B" w:rsidP="00B8277B">
      <w:pPr>
        <w:numPr>
          <w:ilvl w:val="0"/>
          <w:numId w:val="2"/>
        </w:numPr>
        <w:spacing w:before="100" w:beforeAutospacing="1" w:after="100" w:afterAutospacing="1"/>
        <w:rPr>
          <w:rFonts w:ascii="Calibri" w:hAnsi="Calibri"/>
          <w:color w:val="000000"/>
          <w:sz w:val="20"/>
        </w:rPr>
      </w:pPr>
      <w:r w:rsidRPr="00FC529F">
        <w:rPr>
          <w:rFonts w:ascii="Calibri" w:hAnsi="Calibri"/>
          <w:b/>
          <w:color w:val="000000"/>
          <w:sz w:val="20"/>
        </w:rPr>
        <w:t xml:space="preserve">Itemized charitable deductions: </w:t>
      </w:r>
      <w:r w:rsidRPr="00FC529F">
        <w:rPr>
          <w:rFonts w:ascii="Calibri" w:hAnsi="Calibri"/>
          <w:color w:val="000000"/>
          <w:sz w:val="20"/>
        </w:rPr>
        <w:t>Remain largely the same.</w:t>
      </w:r>
    </w:p>
    <w:p w14:paraId="52E70CF1" w14:textId="77777777" w:rsidR="00B8277B" w:rsidRPr="00FC529F" w:rsidRDefault="00B8277B" w:rsidP="00B8277B">
      <w:pPr>
        <w:numPr>
          <w:ilvl w:val="0"/>
          <w:numId w:val="2"/>
        </w:numPr>
        <w:spacing w:before="100" w:beforeAutospacing="1" w:after="100" w:afterAutospacing="1"/>
        <w:rPr>
          <w:rFonts w:ascii="Calibri" w:hAnsi="Calibri"/>
          <w:color w:val="000000"/>
          <w:sz w:val="20"/>
        </w:rPr>
      </w:pPr>
      <w:r w:rsidRPr="00FC529F">
        <w:rPr>
          <w:rFonts w:ascii="Calibri" w:hAnsi="Calibri"/>
          <w:b/>
          <w:color w:val="000000"/>
          <w:sz w:val="20"/>
        </w:rPr>
        <w:t>Itemized medical expense deductions:</w:t>
      </w:r>
      <w:r w:rsidRPr="00FC529F">
        <w:rPr>
          <w:rFonts w:ascii="Calibri" w:hAnsi="Calibri"/>
          <w:color w:val="000000"/>
          <w:sz w:val="20"/>
        </w:rPr>
        <w:t xml:space="preserve"> Remain largely the same. The deduction threshold drops back to 7.5 percent of adjusted gross income for 2017 and 2018, but reverts to 10 percent in the following years.</w:t>
      </w:r>
    </w:p>
    <w:p w14:paraId="04E8696C" w14:textId="77777777" w:rsidR="00B8277B" w:rsidRPr="00FC529F" w:rsidRDefault="00B8277B" w:rsidP="00B8277B">
      <w:pPr>
        <w:numPr>
          <w:ilvl w:val="0"/>
          <w:numId w:val="2"/>
        </w:numPr>
        <w:spacing w:before="100" w:beforeAutospacing="1" w:after="100" w:afterAutospacing="1"/>
        <w:rPr>
          <w:rFonts w:ascii="Calibri" w:hAnsi="Calibri"/>
          <w:color w:val="000000"/>
          <w:sz w:val="20"/>
        </w:rPr>
      </w:pPr>
      <w:r w:rsidRPr="00FC529F">
        <w:rPr>
          <w:rFonts w:ascii="Calibri" w:hAnsi="Calibri"/>
          <w:b/>
          <w:color w:val="000000"/>
          <w:sz w:val="20"/>
        </w:rPr>
        <w:t>Some above-the-line deductions:</w:t>
      </w:r>
      <w:r w:rsidRPr="00FC529F">
        <w:rPr>
          <w:rFonts w:ascii="Calibri" w:hAnsi="Calibri"/>
          <w:color w:val="000000"/>
          <w:sz w:val="20"/>
        </w:rPr>
        <w:t xml:space="preserve"> Remain the same, including $250 of educator expenses and $2,500 of qualified student loan interest.</w:t>
      </w:r>
    </w:p>
    <w:p w14:paraId="63210EFA" w14:textId="77777777" w:rsidR="00B8277B" w:rsidRPr="00FC529F" w:rsidRDefault="00B8277B" w:rsidP="00B8277B">
      <w:pPr>
        <w:numPr>
          <w:ilvl w:val="0"/>
          <w:numId w:val="2"/>
        </w:numPr>
        <w:spacing w:before="100" w:beforeAutospacing="1" w:after="100" w:afterAutospacing="1"/>
        <w:rPr>
          <w:rFonts w:ascii="Calibri" w:hAnsi="Calibri"/>
          <w:color w:val="000000"/>
          <w:sz w:val="20"/>
        </w:rPr>
      </w:pPr>
      <w:r w:rsidRPr="00FC529F">
        <w:rPr>
          <w:rFonts w:ascii="Calibri" w:hAnsi="Calibri"/>
          <w:b/>
          <w:color w:val="000000"/>
          <w:sz w:val="20"/>
        </w:rPr>
        <w:t xml:space="preserve">Gift tax deduction: </w:t>
      </w:r>
      <w:r w:rsidRPr="00FC529F">
        <w:rPr>
          <w:rFonts w:ascii="Calibri" w:hAnsi="Calibri"/>
          <w:color w:val="000000"/>
          <w:sz w:val="20"/>
        </w:rPr>
        <w:t>Remains and increases to $15,000 from $14,000 for 2018.</w:t>
      </w:r>
    </w:p>
    <w:p w14:paraId="06487640" w14:textId="77777777" w:rsidR="00B8277B" w:rsidRPr="00FC529F" w:rsidRDefault="00B8277B" w:rsidP="00B8277B">
      <w:pPr>
        <w:spacing w:before="100" w:beforeAutospacing="1" w:after="100" w:afterAutospacing="1"/>
        <w:rPr>
          <w:rFonts w:ascii="Calibri" w:hAnsi="Calibri"/>
          <w:b/>
          <w:bCs/>
          <w:color w:val="000000"/>
          <w:sz w:val="20"/>
        </w:rPr>
      </w:pPr>
      <w:r w:rsidRPr="00FC529F">
        <w:rPr>
          <w:rFonts w:ascii="Calibri" w:hAnsi="Calibri"/>
          <w:b/>
          <w:bCs/>
          <w:color w:val="000000"/>
          <w:sz w:val="20"/>
        </w:rPr>
        <w:t>Farewell to the healthcare individual mandate penalty</w:t>
      </w:r>
    </w:p>
    <w:p w14:paraId="24ED182B" w14:textId="77777777" w:rsidR="00B8277B" w:rsidRPr="00FC529F" w:rsidRDefault="00B8277B" w:rsidP="00B8277B">
      <w:pPr>
        <w:spacing w:before="100" w:beforeAutospacing="1" w:after="100" w:afterAutospacing="1"/>
        <w:rPr>
          <w:rFonts w:ascii="Calibri" w:hAnsi="Calibri"/>
          <w:bCs/>
          <w:color w:val="000000"/>
          <w:sz w:val="20"/>
        </w:rPr>
      </w:pPr>
      <w:r w:rsidRPr="00FC529F">
        <w:rPr>
          <w:rFonts w:ascii="Calibri" w:hAnsi="Calibri"/>
          <w:bCs/>
          <w:color w:val="000000"/>
          <w:sz w:val="20"/>
        </w:rPr>
        <w:t>One of the changes in the tax act is the suspension of the individual mandate penalty in the Affordable Care Act (also known as “Obamacare”). The penalty is set to zero starting in 2019, but remains in place for 2018 and prior years.</w:t>
      </w:r>
    </w:p>
    <w:p w14:paraId="36C4F5D3" w14:textId="77777777" w:rsidR="00B8277B" w:rsidRPr="00FC529F" w:rsidRDefault="00B8277B" w:rsidP="00B8277B">
      <w:pPr>
        <w:spacing w:before="100" w:beforeAutospacing="1" w:after="100" w:afterAutospacing="1"/>
        <w:rPr>
          <w:rFonts w:ascii="Calibri" w:hAnsi="Calibri"/>
          <w:bCs/>
          <w:color w:val="000000"/>
          <w:sz w:val="20"/>
        </w:rPr>
      </w:pPr>
      <w:r w:rsidRPr="00FC529F">
        <w:rPr>
          <w:rFonts w:ascii="Calibri" w:eastAsia="Times New Roman" w:hAnsi="Calibri"/>
          <w:i/>
          <w:iCs/>
          <w:color w:val="000000"/>
          <w:sz w:val="20"/>
        </w:rPr>
        <w:t>Tip: Retain your Form 1095s, which will provide evidence of your healthcare coverage. Without it, you may have to pay the individual mandate penalty, which is the higher of $695 or 2.5 percent of income. Beginning in 2019, this penalty is set to zero.</w:t>
      </w:r>
    </w:p>
    <w:p w14:paraId="3D176F14" w14:textId="77777777" w:rsidR="00B8277B" w:rsidRPr="00FC529F" w:rsidRDefault="00B8277B" w:rsidP="00B8277B">
      <w:pPr>
        <w:pBdr>
          <w:top w:val="single" w:sz="4" w:space="1" w:color="auto"/>
          <w:left w:val="single" w:sz="4" w:space="4" w:color="auto"/>
          <w:bottom w:val="single" w:sz="4" w:space="1" w:color="auto"/>
          <w:right w:val="single" w:sz="4" w:space="4" w:color="auto"/>
        </w:pBdr>
        <w:rPr>
          <w:rFonts w:ascii="Calibri" w:hAnsi="Calibri"/>
          <w:sz w:val="20"/>
        </w:rPr>
      </w:pPr>
      <w:r w:rsidRPr="00FC529F">
        <w:rPr>
          <w:rFonts w:ascii="Calibri" w:hAnsi="Calibri"/>
          <w:b/>
          <w:sz w:val="20"/>
        </w:rPr>
        <w:t>NOTICE:</w:t>
      </w:r>
      <w:r w:rsidRPr="00FC529F">
        <w:rPr>
          <w:rFonts w:ascii="Calibri" w:hAnsi="Calibri"/>
          <w:sz w:val="20"/>
        </w:rPr>
        <w:t xml:space="preserve"> The IRS recently granted employers and health care providers a 30-day filing extension for Forms 1095-B and 1095-C, to March 2, 2018. The IRS clarified that taxpayers are not required to wait until receipt of these forms to file their taxes.</w:t>
      </w:r>
    </w:p>
    <w:p w14:paraId="470D1A6C" w14:textId="77777777" w:rsidR="00B8277B" w:rsidRPr="00FC529F" w:rsidRDefault="00B8277B" w:rsidP="00B8277B">
      <w:pPr>
        <w:rPr>
          <w:rFonts w:ascii="Calibri" w:hAnsi="Calibri"/>
          <w:b/>
          <w:sz w:val="20"/>
        </w:rPr>
      </w:pPr>
    </w:p>
    <w:p w14:paraId="5CBB7800" w14:textId="77777777" w:rsidR="00B8277B" w:rsidRPr="00FC529F" w:rsidRDefault="00B8277B" w:rsidP="00B8277B">
      <w:pPr>
        <w:rPr>
          <w:rFonts w:ascii="Calibri" w:hAnsi="Calibri"/>
          <w:b/>
          <w:sz w:val="20"/>
        </w:rPr>
      </w:pPr>
      <w:r w:rsidRPr="00FC529F">
        <w:rPr>
          <w:rFonts w:ascii="Calibri" w:hAnsi="Calibri"/>
          <w:b/>
          <w:sz w:val="20"/>
        </w:rPr>
        <w:t>New 2018 tax bracket structures for individuals</w:t>
      </w:r>
      <w:r w:rsidRPr="00FC529F">
        <w:rPr>
          <w:rFonts w:ascii="Calibri" w:hAnsi="Calibri"/>
          <w:b/>
          <w:sz w:val="20"/>
        </w:rPr>
        <w:br/>
      </w:r>
    </w:p>
    <w:p w14:paraId="1EF77EE1" w14:textId="77777777" w:rsidR="00B8277B" w:rsidRPr="00FC529F" w:rsidRDefault="00B8277B" w:rsidP="00B8277B">
      <w:pPr>
        <w:rPr>
          <w:rFonts w:ascii="Calibri" w:hAnsi="Calibri"/>
          <w:b/>
          <w:sz w:val="20"/>
        </w:rPr>
      </w:pPr>
      <w:r w:rsidRPr="00FC529F">
        <w:rPr>
          <w:rFonts w:ascii="Calibri" w:hAnsi="Calibri"/>
          <w:b/>
          <w:sz w:val="20"/>
        </w:rPr>
        <w:t>Single taxpayer</w:t>
      </w:r>
    </w:p>
    <w:tbl>
      <w:tblPr>
        <w:tblW w:w="0" w:type="auto"/>
        <w:tblBorders>
          <w:top w:val="nil"/>
          <w:left w:val="nil"/>
          <w:right w:val="nil"/>
        </w:tblBorders>
        <w:tblLayout w:type="fixed"/>
        <w:tblLook w:val="0000" w:firstRow="0" w:lastRow="0" w:firstColumn="0" w:lastColumn="0" w:noHBand="0" w:noVBand="0"/>
      </w:tblPr>
      <w:tblGrid>
        <w:gridCol w:w="2380"/>
        <w:gridCol w:w="2040"/>
        <w:gridCol w:w="1700"/>
      </w:tblGrid>
      <w:tr w:rsidR="00B8277B" w:rsidRPr="00FC529F" w14:paraId="46D82295" w14:textId="77777777" w:rsidTr="00F7751B">
        <w:tblPrEx>
          <w:tblCellMar>
            <w:top w:w="0" w:type="dxa"/>
            <w:bottom w:w="0" w:type="dxa"/>
          </w:tblCellMar>
        </w:tblPrEx>
        <w:tc>
          <w:tcPr>
            <w:tcW w:w="2380"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17CB4047" w14:textId="77777777" w:rsidR="00B8277B" w:rsidRPr="00FC529F" w:rsidRDefault="00B8277B" w:rsidP="00F7751B">
            <w:pPr>
              <w:rPr>
                <w:rFonts w:ascii="Calibri" w:hAnsi="Calibri"/>
                <w:sz w:val="20"/>
              </w:rPr>
            </w:pPr>
            <w:r w:rsidRPr="00FC529F">
              <w:rPr>
                <w:rFonts w:ascii="Calibri" w:hAnsi="Calibri"/>
                <w:sz w:val="20"/>
              </w:rPr>
              <w:t>Taxable income over</w:t>
            </w:r>
          </w:p>
        </w:tc>
        <w:tc>
          <w:tcPr>
            <w:tcW w:w="2040" w:type="dxa"/>
            <w:tcBorders>
              <w:top w:val="single" w:sz="10" w:space="0" w:color="000000"/>
              <w:bottom w:val="single" w:sz="10" w:space="0" w:color="000000"/>
              <w:right w:val="single" w:sz="10" w:space="0" w:color="000000"/>
            </w:tcBorders>
            <w:tcMar>
              <w:top w:w="144" w:type="nil"/>
              <w:right w:w="144" w:type="nil"/>
            </w:tcMar>
          </w:tcPr>
          <w:p w14:paraId="6B6DA2A8" w14:textId="77777777" w:rsidR="00B8277B" w:rsidRPr="00FC529F" w:rsidRDefault="00B8277B" w:rsidP="00F7751B">
            <w:pPr>
              <w:rPr>
                <w:rFonts w:ascii="Calibri" w:hAnsi="Calibri"/>
                <w:sz w:val="20"/>
              </w:rPr>
            </w:pPr>
            <w:r w:rsidRPr="00FC529F">
              <w:rPr>
                <w:rFonts w:ascii="Calibri" w:hAnsi="Calibri"/>
                <w:sz w:val="20"/>
              </w:rPr>
              <w:t>But not over </w:t>
            </w:r>
          </w:p>
        </w:tc>
        <w:tc>
          <w:tcPr>
            <w:tcW w:w="1700" w:type="dxa"/>
            <w:tcBorders>
              <w:top w:val="single" w:sz="10" w:space="0" w:color="000000"/>
              <w:bottom w:val="single" w:sz="10" w:space="0" w:color="000000"/>
              <w:right w:val="single" w:sz="10" w:space="0" w:color="000000"/>
            </w:tcBorders>
            <w:tcMar>
              <w:top w:w="144" w:type="nil"/>
              <w:right w:w="144" w:type="nil"/>
            </w:tcMar>
          </w:tcPr>
          <w:p w14:paraId="6805F014" w14:textId="77777777" w:rsidR="00B8277B" w:rsidRPr="00FC529F" w:rsidRDefault="00B8277B" w:rsidP="00F7751B">
            <w:pPr>
              <w:rPr>
                <w:rFonts w:ascii="Calibri" w:hAnsi="Calibri"/>
                <w:sz w:val="20"/>
              </w:rPr>
            </w:pPr>
            <w:r w:rsidRPr="00FC529F">
              <w:rPr>
                <w:rFonts w:ascii="Calibri" w:hAnsi="Calibri"/>
                <w:sz w:val="20"/>
              </w:rPr>
              <w:t>Is taxed at</w:t>
            </w:r>
          </w:p>
        </w:tc>
      </w:tr>
      <w:tr w:rsidR="00B8277B" w:rsidRPr="00FC529F" w14:paraId="68DE8411"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6CB37682" w14:textId="77777777" w:rsidR="00B8277B" w:rsidRPr="00FC529F" w:rsidRDefault="00B8277B" w:rsidP="00F7751B">
            <w:pPr>
              <w:rPr>
                <w:rFonts w:ascii="Calibri" w:hAnsi="Calibri"/>
                <w:sz w:val="20"/>
              </w:rPr>
            </w:pPr>
            <w:r w:rsidRPr="00FC529F">
              <w:rPr>
                <w:rFonts w:ascii="Calibri" w:hAnsi="Calibri"/>
                <w:sz w:val="20"/>
              </w:rPr>
              <w:t>$0</w:t>
            </w:r>
          </w:p>
        </w:tc>
        <w:tc>
          <w:tcPr>
            <w:tcW w:w="2040" w:type="dxa"/>
            <w:tcBorders>
              <w:bottom w:val="single" w:sz="10" w:space="0" w:color="000000"/>
              <w:right w:val="single" w:sz="10" w:space="0" w:color="000000"/>
            </w:tcBorders>
            <w:tcMar>
              <w:top w:w="144" w:type="nil"/>
              <w:right w:w="144" w:type="nil"/>
            </w:tcMar>
          </w:tcPr>
          <w:p w14:paraId="3BD644E6" w14:textId="77777777" w:rsidR="00B8277B" w:rsidRPr="00FC529F" w:rsidRDefault="00B8277B" w:rsidP="00F7751B">
            <w:pPr>
              <w:rPr>
                <w:rFonts w:ascii="Calibri" w:hAnsi="Calibri"/>
                <w:sz w:val="20"/>
              </w:rPr>
            </w:pPr>
            <w:r w:rsidRPr="00FC529F">
              <w:rPr>
                <w:rFonts w:ascii="Calibri" w:hAnsi="Calibri"/>
                <w:sz w:val="20"/>
              </w:rPr>
              <w:t>$9,525</w:t>
            </w:r>
          </w:p>
        </w:tc>
        <w:tc>
          <w:tcPr>
            <w:tcW w:w="1700" w:type="dxa"/>
            <w:tcBorders>
              <w:bottom w:val="single" w:sz="10" w:space="0" w:color="000000"/>
              <w:right w:val="single" w:sz="10" w:space="0" w:color="000000"/>
            </w:tcBorders>
            <w:tcMar>
              <w:top w:w="144" w:type="nil"/>
              <w:right w:w="144" w:type="nil"/>
            </w:tcMar>
          </w:tcPr>
          <w:p w14:paraId="261E0625" w14:textId="77777777" w:rsidR="00B8277B" w:rsidRPr="00FC529F" w:rsidRDefault="00B8277B" w:rsidP="00F7751B">
            <w:pPr>
              <w:rPr>
                <w:rFonts w:ascii="Calibri" w:hAnsi="Calibri"/>
                <w:sz w:val="20"/>
              </w:rPr>
            </w:pPr>
            <w:r w:rsidRPr="00FC529F">
              <w:rPr>
                <w:rFonts w:ascii="Calibri" w:hAnsi="Calibri"/>
                <w:sz w:val="20"/>
              </w:rPr>
              <w:t>10%</w:t>
            </w:r>
          </w:p>
        </w:tc>
      </w:tr>
      <w:tr w:rsidR="00B8277B" w:rsidRPr="00FC529F" w14:paraId="56C1BC92"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3B7D7D15" w14:textId="77777777" w:rsidR="00B8277B" w:rsidRPr="00FC529F" w:rsidRDefault="00B8277B" w:rsidP="00F7751B">
            <w:pPr>
              <w:rPr>
                <w:rFonts w:ascii="Calibri" w:hAnsi="Calibri"/>
                <w:sz w:val="20"/>
              </w:rPr>
            </w:pPr>
            <w:r w:rsidRPr="00FC529F">
              <w:rPr>
                <w:rFonts w:ascii="Calibri" w:hAnsi="Calibri"/>
                <w:sz w:val="20"/>
              </w:rPr>
              <w:t>$9,525</w:t>
            </w:r>
          </w:p>
        </w:tc>
        <w:tc>
          <w:tcPr>
            <w:tcW w:w="2040" w:type="dxa"/>
            <w:tcBorders>
              <w:bottom w:val="single" w:sz="10" w:space="0" w:color="000000"/>
              <w:right w:val="single" w:sz="10" w:space="0" w:color="000000"/>
            </w:tcBorders>
            <w:tcMar>
              <w:top w:w="144" w:type="nil"/>
              <w:right w:w="144" w:type="nil"/>
            </w:tcMar>
          </w:tcPr>
          <w:p w14:paraId="58346099" w14:textId="77777777" w:rsidR="00B8277B" w:rsidRPr="00FC529F" w:rsidRDefault="00B8277B" w:rsidP="00F7751B">
            <w:pPr>
              <w:rPr>
                <w:rFonts w:ascii="Calibri" w:hAnsi="Calibri"/>
                <w:sz w:val="20"/>
              </w:rPr>
            </w:pPr>
            <w:r w:rsidRPr="00FC529F">
              <w:rPr>
                <w:rFonts w:ascii="Calibri" w:hAnsi="Calibri"/>
                <w:sz w:val="20"/>
              </w:rPr>
              <w:t>$38,700</w:t>
            </w:r>
          </w:p>
        </w:tc>
        <w:tc>
          <w:tcPr>
            <w:tcW w:w="1700" w:type="dxa"/>
            <w:tcBorders>
              <w:bottom w:val="single" w:sz="10" w:space="0" w:color="000000"/>
              <w:right w:val="single" w:sz="10" w:space="0" w:color="000000"/>
            </w:tcBorders>
            <w:tcMar>
              <w:top w:w="144" w:type="nil"/>
              <w:right w:w="144" w:type="nil"/>
            </w:tcMar>
          </w:tcPr>
          <w:p w14:paraId="6C6AC2D8" w14:textId="77777777" w:rsidR="00B8277B" w:rsidRPr="00FC529F" w:rsidRDefault="00B8277B" w:rsidP="00F7751B">
            <w:pPr>
              <w:rPr>
                <w:rFonts w:ascii="Calibri" w:hAnsi="Calibri"/>
                <w:sz w:val="20"/>
              </w:rPr>
            </w:pPr>
            <w:r w:rsidRPr="00FC529F">
              <w:rPr>
                <w:rFonts w:ascii="Calibri" w:hAnsi="Calibri"/>
                <w:sz w:val="20"/>
              </w:rPr>
              <w:t>12%</w:t>
            </w:r>
          </w:p>
        </w:tc>
      </w:tr>
      <w:tr w:rsidR="00B8277B" w:rsidRPr="00FC529F" w14:paraId="48A7EBBF"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616C20A7" w14:textId="77777777" w:rsidR="00B8277B" w:rsidRPr="00FC529F" w:rsidRDefault="00B8277B" w:rsidP="00F7751B">
            <w:pPr>
              <w:rPr>
                <w:rFonts w:ascii="Calibri" w:hAnsi="Calibri"/>
                <w:sz w:val="20"/>
              </w:rPr>
            </w:pPr>
            <w:r w:rsidRPr="00FC529F">
              <w:rPr>
                <w:rFonts w:ascii="Calibri" w:hAnsi="Calibri"/>
                <w:sz w:val="20"/>
              </w:rPr>
              <w:t>$38,700</w:t>
            </w:r>
          </w:p>
        </w:tc>
        <w:tc>
          <w:tcPr>
            <w:tcW w:w="2040" w:type="dxa"/>
            <w:tcBorders>
              <w:bottom w:val="single" w:sz="10" w:space="0" w:color="000000"/>
              <w:right w:val="single" w:sz="10" w:space="0" w:color="000000"/>
            </w:tcBorders>
            <w:tcMar>
              <w:top w:w="144" w:type="nil"/>
              <w:right w:w="144" w:type="nil"/>
            </w:tcMar>
          </w:tcPr>
          <w:p w14:paraId="0C2D8AED" w14:textId="77777777" w:rsidR="00B8277B" w:rsidRPr="00FC529F" w:rsidRDefault="00B8277B" w:rsidP="00F7751B">
            <w:pPr>
              <w:rPr>
                <w:rFonts w:ascii="Calibri" w:hAnsi="Calibri"/>
                <w:sz w:val="20"/>
              </w:rPr>
            </w:pPr>
            <w:r w:rsidRPr="00FC529F">
              <w:rPr>
                <w:rFonts w:ascii="Calibri" w:hAnsi="Calibri"/>
                <w:sz w:val="20"/>
              </w:rPr>
              <w:t>$82,500</w:t>
            </w:r>
          </w:p>
        </w:tc>
        <w:tc>
          <w:tcPr>
            <w:tcW w:w="1700" w:type="dxa"/>
            <w:tcBorders>
              <w:bottom w:val="single" w:sz="10" w:space="0" w:color="000000"/>
              <w:right w:val="single" w:sz="10" w:space="0" w:color="000000"/>
            </w:tcBorders>
            <w:tcMar>
              <w:top w:w="144" w:type="nil"/>
              <w:right w:w="144" w:type="nil"/>
            </w:tcMar>
          </w:tcPr>
          <w:p w14:paraId="4A375AEC" w14:textId="77777777" w:rsidR="00B8277B" w:rsidRPr="00FC529F" w:rsidRDefault="00B8277B" w:rsidP="00F7751B">
            <w:pPr>
              <w:rPr>
                <w:rFonts w:ascii="Calibri" w:hAnsi="Calibri"/>
                <w:sz w:val="20"/>
              </w:rPr>
            </w:pPr>
            <w:r w:rsidRPr="00FC529F">
              <w:rPr>
                <w:rFonts w:ascii="Calibri" w:hAnsi="Calibri"/>
                <w:sz w:val="20"/>
              </w:rPr>
              <w:t>22%</w:t>
            </w:r>
          </w:p>
        </w:tc>
      </w:tr>
      <w:tr w:rsidR="00B8277B" w:rsidRPr="00FC529F" w14:paraId="04824A3B"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6D0BDA52" w14:textId="77777777" w:rsidR="00B8277B" w:rsidRPr="00FC529F" w:rsidRDefault="00B8277B" w:rsidP="00F7751B">
            <w:pPr>
              <w:rPr>
                <w:rFonts w:ascii="Calibri" w:hAnsi="Calibri"/>
                <w:sz w:val="20"/>
              </w:rPr>
            </w:pPr>
            <w:r w:rsidRPr="00FC529F">
              <w:rPr>
                <w:rFonts w:ascii="Calibri" w:hAnsi="Calibri"/>
                <w:sz w:val="20"/>
              </w:rPr>
              <w:t>$82,500</w:t>
            </w:r>
          </w:p>
        </w:tc>
        <w:tc>
          <w:tcPr>
            <w:tcW w:w="2040" w:type="dxa"/>
            <w:tcBorders>
              <w:bottom w:val="single" w:sz="10" w:space="0" w:color="000000"/>
              <w:right w:val="single" w:sz="10" w:space="0" w:color="000000"/>
            </w:tcBorders>
            <w:tcMar>
              <w:top w:w="144" w:type="nil"/>
              <w:right w:w="144" w:type="nil"/>
            </w:tcMar>
          </w:tcPr>
          <w:p w14:paraId="7AC3771E" w14:textId="77777777" w:rsidR="00B8277B" w:rsidRPr="00FC529F" w:rsidRDefault="00B8277B" w:rsidP="00F7751B">
            <w:pPr>
              <w:rPr>
                <w:rFonts w:ascii="Calibri" w:hAnsi="Calibri"/>
                <w:sz w:val="20"/>
              </w:rPr>
            </w:pPr>
            <w:r w:rsidRPr="00FC529F">
              <w:rPr>
                <w:rFonts w:ascii="Calibri" w:hAnsi="Calibri"/>
                <w:sz w:val="20"/>
              </w:rPr>
              <w:t>$157,500</w:t>
            </w:r>
          </w:p>
        </w:tc>
        <w:tc>
          <w:tcPr>
            <w:tcW w:w="1700" w:type="dxa"/>
            <w:tcBorders>
              <w:bottom w:val="single" w:sz="10" w:space="0" w:color="000000"/>
              <w:right w:val="single" w:sz="10" w:space="0" w:color="000000"/>
            </w:tcBorders>
            <w:tcMar>
              <w:top w:w="144" w:type="nil"/>
              <w:right w:w="144" w:type="nil"/>
            </w:tcMar>
          </w:tcPr>
          <w:p w14:paraId="37BDB981" w14:textId="77777777" w:rsidR="00B8277B" w:rsidRPr="00FC529F" w:rsidRDefault="00B8277B" w:rsidP="00F7751B">
            <w:pPr>
              <w:rPr>
                <w:rFonts w:ascii="Calibri" w:hAnsi="Calibri"/>
                <w:sz w:val="20"/>
              </w:rPr>
            </w:pPr>
            <w:r w:rsidRPr="00FC529F">
              <w:rPr>
                <w:rFonts w:ascii="Calibri" w:hAnsi="Calibri"/>
                <w:sz w:val="20"/>
              </w:rPr>
              <w:t>24%</w:t>
            </w:r>
          </w:p>
        </w:tc>
      </w:tr>
      <w:tr w:rsidR="00B8277B" w:rsidRPr="00FC529F" w14:paraId="27C71732"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15666E09" w14:textId="77777777" w:rsidR="00B8277B" w:rsidRPr="00FC529F" w:rsidRDefault="00B8277B" w:rsidP="00F7751B">
            <w:pPr>
              <w:rPr>
                <w:rFonts w:ascii="Calibri" w:hAnsi="Calibri"/>
                <w:sz w:val="20"/>
              </w:rPr>
            </w:pPr>
            <w:r w:rsidRPr="00FC529F">
              <w:rPr>
                <w:rFonts w:ascii="Calibri" w:hAnsi="Calibri"/>
                <w:sz w:val="20"/>
              </w:rPr>
              <w:t>$157,500</w:t>
            </w:r>
          </w:p>
        </w:tc>
        <w:tc>
          <w:tcPr>
            <w:tcW w:w="2040" w:type="dxa"/>
            <w:tcBorders>
              <w:bottom w:val="single" w:sz="10" w:space="0" w:color="000000"/>
              <w:right w:val="single" w:sz="10" w:space="0" w:color="000000"/>
            </w:tcBorders>
            <w:tcMar>
              <w:top w:w="144" w:type="nil"/>
              <w:right w:w="144" w:type="nil"/>
            </w:tcMar>
          </w:tcPr>
          <w:p w14:paraId="15981661" w14:textId="77777777" w:rsidR="00B8277B" w:rsidRPr="00FC529F" w:rsidRDefault="00B8277B" w:rsidP="00F7751B">
            <w:pPr>
              <w:rPr>
                <w:rFonts w:ascii="Calibri" w:hAnsi="Calibri"/>
                <w:sz w:val="20"/>
              </w:rPr>
            </w:pPr>
            <w:r w:rsidRPr="00FC529F">
              <w:rPr>
                <w:rFonts w:ascii="Calibri" w:hAnsi="Calibri"/>
                <w:sz w:val="20"/>
              </w:rPr>
              <w:t>$200,000</w:t>
            </w:r>
          </w:p>
        </w:tc>
        <w:tc>
          <w:tcPr>
            <w:tcW w:w="1700" w:type="dxa"/>
            <w:tcBorders>
              <w:bottom w:val="single" w:sz="10" w:space="0" w:color="000000"/>
              <w:right w:val="single" w:sz="10" w:space="0" w:color="000000"/>
            </w:tcBorders>
            <w:tcMar>
              <w:top w:w="144" w:type="nil"/>
              <w:right w:w="144" w:type="nil"/>
            </w:tcMar>
          </w:tcPr>
          <w:p w14:paraId="069F492E" w14:textId="77777777" w:rsidR="00B8277B" w:rsidRPr="00FC529F" w:rsidRDefault="00B8277B" w:rsidP="00F7751B">
            <w:pPr>
              <w:rPr>
                <w:rFonts w:ascii="Calibri" w:hAnsi="Calibri"/>
                <w:sz w:val="20"/>
              </w:rPr>
            </w:pPr>
            <w:r w:rsidRPr="00FC529F">
              <w:rPr>
                <w:rFonts w:ascii="Calibri" w:hAnsi="Calibri"/>
                <w:sz w:val="20"/>
              </w:rPr>
              <w:t>32%</w:t>
            </w:r>
          </w:p>
        </w:tc>
      </w:tr>
      <w:tr w:rsidR="00B8277B" w:rsidRPr="00FC529F" w14:paraId="625E255D"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1BD19675" w14:textId="77777777" w:rsidR="00B8277B" w:rsidRPr="00FC529F" w:rsidRDefault="00B8277B" w:rsidP="00F7751B">
            <w:pPr>
              <w:rPr>
                <w:rFonts w:ascii="Calibri" w:hAnsi="Calibri"/>
                <w:sz w:val="20"/>
              </w:rPr>
            </w:pPr>
            <w:r w:rsidRPr="00FC529F">
              <w:rPr>
                <w:rFonts w:ascii="Calibri" w:hAnsi="Calibri"/>
                <w:sz w:val="20"/>
              </w:rPr>
              <w:t>$200,000</w:t>
            </w:r>
          </w:p>
        </w:tc>
        <w:tc>
          <w:tcPr>
            <w:tcW w:w="2040" w:type="dxa"/>
            <w:tcBorders>
              <w:bottom w:val="single" w:sz="10" w:space="0" w:color="000000"/>
              <w:right w:val="single" w:sz="10" w:space="0" w:color="000000"/>
            </w:tcBorders>
            <w:tcMar>
              <w:top w:w="144" w:type="nil"/>
              <w:right w:w="144" w:type="nil"/>
            </w:tcMar>
          </w:tcPr>
          <w:p w14:paraId="5285D04F" w14:textId="77777777" w:rsidR="00B8277B" w:rsidRPr="00FC529F" w:rsidRDefault="00B8277B" w:rsidP="00F7751B">
            <w:pPr>
              <w:rPr>
                <w:rFonts w:ascii="Calibri" w:hAnsi="Calibri"/>
                <w:sz w:val="20"/>
              </w:rPr>
            </w:pPr>
            <w:r w:rsidRPr="00FC529F">
              <w:rPr>
                <w:rFonts w:ascii="Calibri" w:hAnsi="Calibri"/>
                <w:sz w:val="20"/>
              </w:rPr>
              <w:t>$500,000</w:t>
            </w:r>
          </w:p>
        </w:tc>
        <w:tc>
          <w:tcPr>
            <w:tcW w:w="1700" w:type="dxa"/>
            <w:tcBorders>
              <w:bottom w:val="single" w:sz="10" w:space="0" w:color="000000"/>
              <w:right w:val="single" w:sz="10" w:space="0" w:color="000000"/>
            </w:tcBorders>
            <w:tcMar>
              <w:top w:w="144" w:type="nil"/>
              <w:right w:w="144" w:type="nil"/>
            </w:tcMar>
          </w:tcPr>
          <w:p w14:paraId="72953D50" w14:textId="77777777" w:rsidR="00B8277B" w:rsidRPr="00FC529F" w:rsidRDefault="00B8277B" w:rsidP="00F7751B">
            <w:pPr>
              <w:rPr>
                <w:rFonts w:ascii="Calibri" w:hAnsi="Calibri"/>
                <w:sz w:val="20"/>
              </w:rPr>
            </w:pPr>
            <w:r w:rsidRPr="00FC529F">
              <w:rPr>
                <w:rFonts w:ascii="Calibri" w:hAnsi="Calibri"/>
                <w:sz w:val="20"/>
              </w:rPr>
              <w:t>35%</w:t>
            </w:r>
          </w:p>
        </w:tc>
      </w:tr>
      <w:tr w:rsidR="00B8277B" w:rsidRPr="00FC529F" w14:paraId="4ED91FFD" w14:textId="77777777" w:rsidTr="00F7751B">
        <w:tblPrEx>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50CC5200" w14:textId="77777777" w:rsidR="00B8277B" w:rsidRPr="00FC529F" w:rsidRDefault="00B8277B" w:rsidP="00F7751B">
            <w:pPr>
              <w:rPr>
                <w:rFonts w:ascii="Calibri" w:hAnsi="Calibri"/>
                <w:sz w:val="20"/>
              </w:rPr>
            </w:pPr>
            <w:r w:rsidRPr="00FC529F">
              <w:rPr>
                <w:rFonts w:ascii="Calibri" w:hAnsi="Calibri"/>
                <w:sz w:val="20"/>
              </w:rPr>
              <w:t>$500,000</w:t>
            </w:r>
          </w:p>
        </w:tc>
        <w:tc>
          <w:tcPr>
            <w:tcW w:w="2040" w:type="dxa"/>
            <w:tcBorders>
              <w:bottom w:val="single" w:sz="10" w:space="0" w:color="000000"/>
              <w:right w:val="single" w:sz="10" w:space="0" w:color="000000"/>
            </w:tcBorders>
            <w:tcMar>
              <w:top w:w="144" w:type="nil"/>
              <w:right w:w="144" w:type="nil"/>
            </w:tcMar>
          </w:tcPr>
          <w:p w14:paraId="4972B572" w14:textId="77777777" w:rsidR="00B8277B" w:rsidRPr="00FC529F" w:rsidRDefault="00B8277B" w:rsidP="00F7751B">
            <w:pPr>
              <w:rPr>
                <w:rFonts w:ascii="Calibri" w:hAnsi="Calibri"/>
                <w:sz w:val="20"/>
              </w:rPr>
            </w:pPr>
            <w:r w:rsidRPr="00FC529F">
              <w:rPr>
                <w:rFonts w:ascii="Calibri" w:hAnsi="Calibri"/>
                <w:sz w:val="20"/>
              </w:rPr>
              <w:t> </w:t>
            </w:r>
          </w:p>
        </w:tc>
        <w:tc>
          <w:tcPr>
            <w:tcW w:w="1700" w:type="dxa"/>
            <w:tcBorders>
              <w:bottom w:val="single" w:sz="10" w:space="0" w:color="000000"/>
              <w:right w:val="single" w:sz="10" w:space="0" w:color="000000"/>
            </w:tcBorders>
            <w:tcMar>
              <w:top w:w="144" w:type="nil"/>
              <w:right w:w="144" w:type="nil"/>
            </w:tcMar>
          </w:tcPr>
          <w:p w14:paraId="50A7C263" w14:textId="77777777" w:rsidR="00B8277B" w:rsidRPr="00FC529F" w:rsidRDefault="00B8277B" w:rsidP="00F7751B">
            <w:pPr>
              <w:rPr>
                <w:rFonts w:ascii="Calibri" w:hAnsi="Calibri"/>
                <w:sz w:val="20"/>
              </w:rPr>
            </w:pPr>
            <w:r w:rsidRPr="00FC529F">
              <w:rPr>
                <w:rFonts w:ascii="Calibri" w:hAnsi="Calibri"/>
                <w:sz w:val="20"/>
              </w:rPr>
              <w:t>37%</w:t>
            </w:r>
          </w:p>
        </w:tc>
      </w:tr>
    </w:tbl>
    <w:p w14:paraId="7AAD0672" w14:textId="77777777" w:rsidR="00B8277B" w:rsidRPr="00FC529F" w:rsidRDefault="00B8277B" w:rsidP="00B8277B">
      <w:pPr>
        <w:rPr>
          <w:rFonts w:ascii="Calibri" w:hAnsi="Calibri"/>
          <w:b/>
          <w:sz w:val="20"/>
        </w:rPr>
      </w:pPr>
      <w:r w:rsidRPr="003E54B9">
        <w:rPr>
          <w:rFonts w:ascii="MS Gothic" w:eastAsia="MS Gothic" w:hAnsi="MS Gothic" w:cs="MS Gothic" w:hint="eastAsia"/>
          <w:sz w:val="20"/>
        </w:rPr>
        <w:t> </w:t>
      </w:r>
      <w:r w:rsidRPr="00FC529F">
        <w:rPr>
          <w:rFonts w:ascii="Calibri" w:hAnsi="Calibri"/>
          <w:sz w:val="20"/>
        </w:rPr>
        <w:br/>
      </w:r>
      <w:r w:rsidRPr="00FC529F">
        <w:rPr>
          <w:rFonts w:ascii="Calibri" w:hAnsi="Calibri"/>
          <w:b/>
          <w:sz w:val="20"/>
        </w:rPr>
        <w:t>Head of household</w:t>
      </w:r>
    </w:p>
    <w:tbl>
      <w:tblPr>
        <w:tblW w:w="0" w:type="auto"/>
        <w:tblBorders>
          <w:top w:val="nil"/>
          <w:left w:val="nil"/>
          <w:right w:val="nil"/>
        </w:tblBorders>
        <w:tblLayout w:type="fixed"/>
        <w:tblLook w:val="0000" w:firstRow="0" w:lastRow="0" w:firstColumn="0" w:lastColumn="0" w:noHBand="0" w:noVBand="0"/>
      </w:tblPr>
      <w:tblGrid>
        <w:gridCol w:w="2380"/>
        <w:gridCol w:w="2040"/>
        <w:gridCol w:w="1700"/>
      </w:tblGrid>
      <w:tr w:rsidR="00B8277B" w:rsidRPr="00FC529F" w14:paraId="5F5787E7" w14:textId="77777777" w:rsidTr="00F7751B">
        <w:tblPrEx>
          <w:tblCellMar>
            <w:top w:w="0" w:type="dxa"/>
            <w:bottom w:w="0" w:type="dxa"/>
          </w:tblCellMar>
        </w:tblPrEx>
        <w:tc>
          <w:tcPr>
            <w:tcW w:w="2380"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5ADD45F0" w14:textId="77777777" w:rsidR="00B8277B" w:rsidRPr="00FC529F" w:rsidRDefault="00B8277B" w:rsidP="00F7751B">
            <w:pPr>
              <w:rPr>
                <w:rFonts w:ascii="Calibri" w:hAnsi="Calibri"/>
                <w:sz w:val="20"/>
              </w:rPr>
            </w:pPr>
            <w:r w:rsidRPr="00FC529F">
              <w:rPr>
                <w:rFonts w:ascii="Calibri" w:hAnsi="Calibri"/>
                <w:sz w:val="20"/>
              </w:rPr>
              <w:t>Taxable income over</w:t>
            </w:r>
          </w:p>
        </w:tc>
        <w:tc>
          <w:tcPr>
            <w:tcW w:w="2040" w:type="dxa"/>
            <w:tcBorders>
              <w:top w:val="single" w:sz="10" w:space="0" w:color="000000"/>
              <w:bottom w:val="single" w:sz="10" w:space="0" w:color="000000"/>
              <w:right w:val="single" w:sz="10" w:space="0" w:color="000000"/>
            </w:tcBorders>
            <w:tcMar>
              <w:top w:w="144" w:type="nil"/>
              <w:right w:w="144" w:type="nil"/>
            </w:tcMar>
          </w:tcPr>
          <w:p w14:paraId="75D0F235" w14:textId="77777777" w:rsidR="00B8277B" w:rsidRPr="00FC529F" w:rsidRDefault="00B8277B" w:rsidP="00F7751B">
            <w:pPr>
              <w:rPr>
                <w:rFonts w:ascii="Calibri" w:hAnsi="Calibri"/>
                <w:sz w:val="20"/>
              </w:rPr>
            </w:pPr>
            <w:r w:rsidRPr="00FC529F">
              <w:rPr>
                <w:rFonts w:ascii="Calibri" w:hAnsi="Calibri"/>
                <w:sz w:val="20"/>
              </w:rPr>
              <w:t>But not over </w:t>
            </w:r>
          </w:p>
        </w:tc>
        <w:tc>
          <w:tcPr>
            <w:tcW w:w="1700" w:type="dxa"/>
            <w:tcBorders>
              <w:top w:val="single" w:sz="10" w:space="0" w:color="000000"/>
              <w:bottom w:val="single" w:sz="10" w:space="0" w:color="000000"/>
              <w:right w:val="single" w:sz="10" w:space="0" w:color="000000"/>
            </w:tcBorders>
            <w:tcMar>
              <w:top w:w="144" w:type="nil"/>
              <w:right w:w="144" w:type="nil"/>
            </w:tcMar>
          </w:tcPr>
          <w:p w14:paraId="6BE8DC47" w14:textId="77777777" w:rsidR="00B8277B" w:rsidRPr="00FC529F" w:rsidRDefault="00B8277B" w:rsidP="00F7751B">
            <w:pPr>
              <w:rPr>
                <w:rFonts w:ascii="Calibri" w:hAnsi="Calibri"/>
                <w:sz w:val="20"/>
              </w:rPr>
            </w:pPr>
            <w:r w:rsidRPr="00FC529F">
              <w:rPr>
                <w:rFonts w:ascii="Calibri" w:hAnsi="Calibri"/>
                <w:sz w:val="20"/>
              </w:rPr>
              <w:t>Is taxed at</w:t>
            </w:r>
          </w:p>
        </w:tc>
      </w:tr>
      <w:tr w:rsidR="00B8277B" w:rsidRPr="00FC529F" w14:paraId="5091EB3B"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3C05895A" w14:textId="77777777" w:rsidR="00B8277B" w:rsidRPr="00FC529F" w:rsidRDefault="00B8277B" w:rsidP="00F7751B">
            <w:pPr>
              <w:rPr>
                <w:rFonts w:ascii="Calibri" w:hAnsi="Calibri"/>
                <w:sz w:val="20"/>
              </w:rPr>
            </w:pPr>
            <w:r w:rsidRPr="00FC529F">
              <w:rPr>
                <w:rFonts w:ascii="Calibri" w:hAnsi="Calibri"/>
                <w:sz w:val="20"/>
              </w:rPr>
              <w:t>$0</w:t>
            </w:r>
          </w:p>
        </w:tc>
        <w:tc>
          <w:tcPr>
            <w:tcW w:w="2040" w:type="dxa"/>
            <w:tcBorders>
              <w:bottom w:val="single" w:sz="10" w:space="0" w:color="000000"/>
              <w:right w:val="single" w:sz="10" w:space="0" w:color="000000"/>
            </w:tcBorders>
            <w:tcMar>
              <w:top w:w="144" w:type="nil"/>
              <w:right w:w="144" w:type="nil"/>
            </w:tcMar>
          </w:tcPr>
          <w:p w14:paraId="3B7312C5" w14:textId="77777777" w:rsidR="00B8277B" w:rsidRPr="00FC529F" w:rsidRDefault="00B8277B" w:rsidP="00F7751B">
            <w:pPr>
              <w:rPr>
                <w:rFonts w:ascii="Calibri" w:hAnsi="Calibri"/>
                <w:sz w:val="20"/>
              </w:rPr>
            </w:pPr>
            <w:r w:rsidRPr="00FC529F">
              <w:rPr>
                <w:rFonts w:ascii="Calibri" w:hAnsi="Calibri"/>
                <w:sz w:val="20"/>
              </w:rPr>
              <w:t>$13,600</w:t>
            </w:r>
          </w:p>
        </w:tc>
        <w:tc>
          <w:tcPr>
            <w:tcW w:w="1700" w:type="dxa"/>
            <w:tcBorders>
              <w:bottom w:val="single" w:sz="10" w:space="0" w:color="000000"/>
              <w:right w:val="single" w:sz="10" w:space="0" w:color="000000"/>
            </w:tcBorders>
            <w:tcMar>
              <w:top w:w="144" w:type="nil"/>
              <w:right w:w="144" w:type="nil"/>
            </w:tcMar>
          </w:tcPr>
          <w:p w14:paraId="48A3D793" w14:textId="77777777" w:rsidR="00B8277B" w:rsidRPr="00FC529F" w:rsidRDefault="00B8277B" w:rsidP="00F7751B">
            <w:pPr>
              <w:rPr>
                <w:rFonts w:ascii="Calibri" w:hAnsi="Calibri"/>
                <w:sz w:val="20"/>
              </w:rPr>
            </w:pPr>
            <w:r w:rsidRPr="00FC529F">
              <w:rPr>
                <w:rFonts w:ascii="Calibri" w:hAnsi="Calibri"/>
                <w:sz w:val="20"/>
              </w:rPr>
              <w:t>10%</w:t>
            </w:r>
          </w:p>
        </w:tc>
      </w:tr>
      <w:tr w:rsidR="00B8277B" w:rsidRPr="00FC529F" w14:paraId="3A2136A1"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08FA258E" w14:textId="77777777" w:rsidR="00B8277B" w:rsidRPr="00FC529F" w:rsidRDefault="00B8277B" w:rsidP="00F7751B">
            <w:pPr>
              <w:rPr>
                <w:rFonts w:ascii="Calibri" w:hAnsi="Calibri"/>
                <w:sz w:val="20"/>
              </w:rPr>
            </w:pPr>
            <w:r w:rsidRPr="00FC529F">
              <w:rPr>
                <w:rFonts w:ascii="Calibri" w:hAnsi="Calibri"/>
                <w:sz w:val="20"/>
              </w:rPr>
              <w:t>$13,600</w:t>
            </w:r>
          </w:p>
        </w:tc>
        <w:tc>
          <w:tcPr>
            <w:tcW w:w="2040" w:type="dxa"/>
            <w:tcBorders>
              <w:bottom w:val="single" w:sz="10" w:space="0" w:color="000000"/>
              <w:right w:val="single" w:sz="10" w:space="0" w:color="000000"/>
            </w:tcBorders>
            <w:tcMar>
              <w:top w:w="144" w:type="nil"/>
              <w:right w:w="144" w:type="nil"/>
            </w:tcMar>
          </w:tcPr>
          <w:p w14:paraId="7F7F7A5F" w14:textId="77777777" w:rsidR="00B8277B" w:rsidRPr="00FC529F" w:rsidRDefault="00B8277B" w:rsidP="00F7751B">
            <w:pPr>
              <w:rPr>
                <w:rFonts w:ascii="Calibri" w:hAnsi="Calibri"/>
                <w:sz w:val="20"/>
              </w:rPr>
            </w:pPr>
            <w:r w:rsidRPr="00FC529F">
              <w:rPr>
                <w:rFonts w:ascii="Calibri" w:hAnsi="Calibri"/>
                <w:sz w:val="20"/>
              </w:rPr>
              <w:t>$51,800</w:t>
            </w:r>
          </w:p>
        </w:tc>
        <w:tc>
          <w:tcPr>
            <w:tcW w:w="1700" w:type="dxa"/>
            <w:tcBorders>
              <w:bottom w:val="single" w:sz="10" w:space="0" w:color="000000"/>
              <w:right w:val="single" w:sz="10" w:space="0" w:color="000000"/>
            </w:tcBorders>
            <w:tcMar>
              <w:top w:w="144" w:type="nil"/>
              <w:right w:w="144" w:type="nil"/>
            </w:tcMar>
          </w:tcPr>
          <w:p w14:paraId="58867AC8" w14:textId="77777777" w:rsidR="00B8277B" w:rsidRPr="00FC529F" w:rsidRDefault="00B8277B" w:rsidP="00F7751B">
            <w:pPr>
              <w:rPr>
                <w:rFonts w:ascii="Calibri" w:hAnsi="Calibri"/>
                <w:sz w:val="20"/>
              </w:rPr>
            </w:pPr>
            <w:r w:rsidRPr="00FC529F">
              <w:rPr>
                <w:rFonts w:ascii="Calibri" w:hAnsi="Calibri"/>
                <w:sz w:val="20"/>
              </w:rPr>
              <w:t>12%</w:t>
            </w:r>
          </w:p>
        </w:tc>
      </w:tr>
      <w:tr w:rsidR="00B8277B" w:rsidRPr="00FC529F" w14:paraId="667DCAAD"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27398E83" w14:textId="77777777" w:rsidR="00B8277B" w:rsidRPr="00FC529F" w:rsidRDefault="00B8277B" w:rsidP="00F7751B">
            <w:pPr>
              <w:rPr>
                <w:rFonts w:ascii="Calibri" w:hAnsi="Calibri"/>
                <w:sz w:val="20"/>
              </w:rPr>
            </w:pPr>
            <w:r w:rsidRPr="00FC529F">
              <w:rPr>
                <w:rFonts w:ascii="Calibri" w:hAnsi="Calibri"/>
                <w:sz w:val="20"/>
              </w:rPr>
              <w:t>$51,800</w:t>
            </w:r>
          </w:p>
        </w:tc>
        <w:tc>
          <w:tcPr>
            <w:tcW w:w="2040" w:type="dxa"/>
            <w:tcBorders>
              <w:bottom w:val="single" w:sz="10" w:space="0" w:color="000000"/>
              <w:right w:val="single" w:sz="10" w:space="0" w:color="000000"/>
            </w:tcBorders>
            <w:tcMar>
              <w:top w:w="144" w:type="nil"/>
              <w:right w:w="144" w:type="nil"/>
            </w:tcMar>
          </w:tcPr>
          <w:p w14:paraId="661D1121" w14:textId="77777777" w:rsidR="00B8277B" w:rsidRPr="00FC529F" w:rsidRDefault="00B8277B" w:rsidP="00F7751B">
            <w:pPr>
              <w:rPr>
                <w:rFonts w:ascii="Calibri" w:hAnsi="Calibri"/>
                <w:sz w:val="20"/>
              </w:rPr>
            </w:pPr>
            <w:r w:rsidRPr="00FC529F">
              <w:rPr>
                <w:rFonts w:ascii="Calibri" w:hAnsi="Calibri"/>
                <w:sz w:val="20"/>
              </w:rPr>
              <w:t>$82,500</w:t>
            </w:r>
          </w:p>
        </w:tc>
        <w:tc>
          <w:tcPr>
            <w:tcW w:w="1700" w:type="dxa"/>
            <w:tcBorders>
              <w:bottom w:val="single" w:sz="10" w:space="0" w:color="000000"/>
              <w:right w:val="single" w:sz="10" w:space="0" w:color="000000"/>
            </w:tcBorders>
            <w:tcMar>
              <w:top w:w="144" w:type="nil"/>
              <w:right w:w="144" w:type="nil"/>
            </w:tcMar>
          </w:tcPr>
          <w:p w14:paraId="0426FB27" w14:textId="77777777" w:rsidR="00B8277B" w:rsidRPr="00FC529F" w:rsidRDefault="00B8277B" w:rsidP="00F7751B">
            <w:pPr>
              <w:rPr>
                <w:rFonts w:ascii="Calibri" w:hAnsi="Calibri"/>
                <w:sz w:val="20"/>
              </w:rPr>
            </w:pPr>
            <w:r w:rsidRPr="00FC529F">
              <w:rPr>
                <w:rFonts w:ascii="Calibri" w:hAnsi="Calibri"/>
                <w:sz w:val="20"/>
              </w:rPr>
              <w:t>22%</w:t>
            </w:r>
          </w:p>
        </w:tc>
      </w:tr>
      <w:tr w:rsidR="00B8277B" w:rsidRPr="00FC529F" w14:paraId="0CA63260"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02D541F1" w14:textId="77777777" w:rsidR="00B8277B" w:rsidRPr="00FC529F" w:rsidRDefault="00B8277B" w:rsidP="00F7751B">
            <w:pPr>
              <w:rPr>
                <w:rFonts w:ascii="Calibri" w:hAnsi="Calibri"/>
                <w:sz w:val="20"/>
              </w:rPr>
            </w:pPr>
            <w:r w:rsidRPr="00FC529F">
              <w:rPr>
                <w:rFonts w:ascii="Calibri" w:hAnsi="Calibri"/>
                <w:sz w:val="20"/>
              </w:rPr>
              <w:t>$82,500</w:t>
            </w:r>
          </w:p>
        </w:tc>
        <w:tc>
          <w:tcPr>
            <w:tcW w:w="2040" w:type="dxa"/>
            <w:tcBorders>
              <w:bottom w:val="single" w:sz="10" w:space="0" w:color="000000"/>
              <w:right w:val="single" w:sz="10" w:space="0" w:color="000000"/>
            </w:tcBorders>
            <w:tcMar>
              <w:top w:w="144" w:type="nil"/>
              <w:right w:w="144" w:type="nil"/>
            </w:tcMar>
          </w:tcPr>
          <w:p w14:paraId="4A4F6E07" w14:textId="77777777" w:rsidR="00B8277B" w:rsidRPr="00FC529F" w:rsidRDefault="00B8277B" w:rsidP="00F7751B">
            <w:pPr>
              <w:rPr>
                <w:rFonts w:ascii="Calibri" w:hAnsi="Calibri"/>
                <w:sz w:val="20"/>
              </w:rPr>
            </w:pPr>
            <w:r w:rsidRPr="00FC529F">
              <w:rPr>
                <w:rFonts w:ascii="Calibri" w:hAnsi="Calibri"/>
                <w:sz w:val="20"/>
              </w:rPr>
              <w:t>$157,500</w:t>
            </w:r>
          </w:p>
        </w:tc>
        <w:tc>
          <w:tcPr>
            <w:tcW w:w="1700" w:type="dxa"/>
            <w:tcBorders>
              <w:bottom w:val="single" w:sz="10" w:space="0" w:color="000000"/>
              <w:right w:val="single" w:sz="10" w:space="0" w:color="000000"/>
            </w:tcBorders>
            <w:tcMar>
              <w:top w:w="144" w:type="nil"/>
              <w:right w:w="144" w:type="nil"/>
            </w:tcMar>
          </w:tcPr>
          <w:p w14:paraId="643CD437" w14:textId="77777777" w:rsidR="00B8277B" w:rsidRPr="00FC529F" w:rsidRDefault="00B8277B" w:rsidP="00F7751B">
            <w:pPr>
              <w:rPr>
                <w:rFonts w:ascii="Calibri" w:hAnsi="Calibri"/>
                <w:sz w:val="20"/>
              </w:rPr>
            </w:pPr>
            <w:r w:rsidRPr="00FC529F">
              <w:rPr>
                <w:rFonts w:ascii="Calibri" w:hAnsi="Calibri"/>
                <w:sz w:val="20"/>
              </w:rPr>
              <w:t>24%</w:t>
            </w:r>
          </w:p>
        </w:tc>
      </w:tr>
      <w:tr w:rsidR="00B8277B" w:rsidRPr="00FC529F" w14:paraId="277FBD4A"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5EE75208" w14:textId="77777777" w:rsidR="00B8277B" w:rsidRPr="00FC529F" w:rsidRDefault="00B8277B" w:rsidP="00F7751B">
            <w:pPr>
              <w:rPr>
                <w:rFonts w:ascii="Calibri" w:hAnsi="Calibri"/>
                <w:sz w:val="20"/>
              </w:rPr>
            </w:pPr>
            <w:r w:rsidRPr="00FC529F">
              <w:rPr>
                <w:rFonts w:ascii="Calibri" w:hAnsi="Calibri"/>
                <w:sz w:val="20"/>
              </w:rPr>
              <w:t>$157,500</w:t>
            </w:r>
          </w:p>
        </w:tc>
        <w:tc>
          <w:tcPr>
            <w:tcW w:w="2040" w:type="dxa"/>
            <w:tcBorders>
              <w:bottom w:val="single" w:sz="10" w:space="0" w:color="000000"/>
              <w:right w:val="single" w:sz="10" w:space="0" w:color="000000"/>
            </w:tcBorders>
            <w:tcMar>
              <w:top w:w="144" w:type="nil"/>
              <w:right w:w="144" w:type="nil"/>
            </w:tcMar>
          </w:tcPr>
          <w:p w14:paraId="6B42EFD8" w14:textId="77777777" w:rsidR="00B8277B" w:rsidRPr="00FC529F" w:rsidRDefault="00B8277B" w:rsidP="00F7751B">
            <w:pPr>
              <w:rPr>
                <w:rFonts w:ascii="Calibri" w:hAnsi="Calibri"/>
                <w:sz w:val="20"/>
              </w:rPr>
            </w:pPr>
            <w:r w:rsidRPr="00FC529F">
              <w:rPr>
                <w:rFonts w:ascii="Calibri" w:hAnsi="Calibri"/>
                <w:sz w:val="20"/>
              </w:rPr>
              <w:t>$200,000</w:t>
            </w:r>
          </w:p>
        </w:tc>
        <w:tc>
          <w:tcPr>
            <w:tcW w:w="1700" w:type="dxa"/>
            <w:tcBorders>
              <w:bottom w:val="single" w:sz="10" w:space="0" w:color="000000"/>
              <w:right w:val="single" w:sz="10" w:space="0" w:color="000000"/>
            </w:tcBorders>
            <w:tcMar>
              <w:top w:w="144" w:type="nil"/>
              <w:right w:w="144" w:type="nil"/>
            </w:tcMar>
          </w:tcPr>
          <w:p w14:paraId="01F823BD" w14:textId="77777777" w:rsidR="00B8277B" w:rsidRPr="00FC529F" w:rsidRDefault="00B8277B" w:rsidP="00F7751B">
            <w:pPr>
              <w:rPr>
                <w:rFonts w:ascii="Calibri" w:hAnsi="Calibri"/>
                <w:sz w:val="20"/>
              </w:rPr>
            </w:pPr>
            <w:r w:rsidRPr="00FC529F">
              <w:rPr>
                <w:rFonts w:ascii="Calibri" w:hAnsi="Calibri"/>
                <w:sz w:val="20"/>
              </w:rPr>
              <w:t>32%</w:t>
            </w:r>
          </w:p>
        </w:tc>
      </w:tr>
      <w:tr w:rsidR="00B8277B" w:rsidRPr="00FC529F" w14:paraId="0E497872"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6A8D7921" w14:textId="77777777" w:rsidR="00B8277B" w:rsidRPr="00FC529F" w:rsidRDefault="00B8277B" w:rsidP="00F7751B">
            <w:pPr>
              <w:rPr>
                <w:rFonts w:ascii="Calibri" w:hAnsi="Calibri"/>
                <w:sz w:val="20"/>
              </w:rPr>
            </w:pPr>
            <w:r w:rsidRPr="00FC529F">
              <w:rPr>
                <w:rFonts w:ascii="Calibri" w:hAnsi="Calibri"/>
                <w:sz w:val="20"/>
              </w:rPr>
              <w:t>$200,000</w:t>
            </w:r>
          </w:p>
        </w:tc>
        <w:tc>
          <w:tcPr>
            <w:tcW w:w="2040" w:type="dxa"/>
            <w:tcBorders>
              <w:bottom w:val="single" w:sz="10" w:space="0" w:color="000000"/>
              <w:right w:val="single" w:sz="10" w:space="0" w:color="000000"/>
            </w:tcBorders>
            <w:tcMar>
              <w:top w:w="144" w:type="nil"/>
              <w:right w:w="144" w:type="nil"/>
            </w:tcMar>
          </w:tcPr>
          <w:p w14:paraId="506CCF23" w14:textId="77777777" w:rsidR="00B8277B" w:rsidRPr="00FC529F" w:rsidRDefault="00B8277B" w:rsidP="00F7751B">
            <w:pPr>
              <w:rPr>
                <w:rFonts w:ascii="Calibri" w:hAnsi="Calibri"/>
                <w:sz w:val="20"/>
              </w:rPr>
            </w:pPr>
            <w:r w:rsidRPr="00FC529F">
              <w:rPr>
                <w:rFonts w:ascii="Calibri" w:hAnsi="Calibri"/>
                <w:sz w:val="20"/>
              </w:rPr>
              <w:t>$500,000</w:t>
            </w:r>
          </w:p>
        </w:tc>
        <w:tc>
          <w:tcPr>
            <w:tcW w:w="1700" w:type="dxa"/>
            <w:tcBorders>
              <w:bottom w:val="single" w:sz="10" w:space="0" w:color="000000"/>
              <w:right w:val="single" w:sz="10" w:space="0" w:color="000000"/>
            </w:tcBorders>
            <w:tcMar>
              <w:top w:w="144" w:type="nil"/>
              <w:right w:w="144" w:type="nil"/>
            </w:tcMar>
          </w:tcPr>
          <w:p w14:paraId="79535DFC" w14:textId="77777777" w:rsidR="00B8277B" w:rsidRPr="00FC529F" w:rsidRDefault="00B8277B" w:rsidP="00F7751B">
            <w:pPr>
              <w:rPr>
                <w:rFonts w:ascii="Calibri" w:hAnsi="Calibri"/>
                <w:sz w:val="20"/>
              </w:rPr>
            </w:pPr>
            <w:r w:rsidRPr="00FC529F">
              <w:rPr>
                <w:rFonts w:ascii="Calibri" w:hAnsi="Calibri"/>
                <w:sz w:val="20"/>
              </w:rPr>
              <w:t>35%</w:t>
            </w:r>
          </w:p>
        </w:tc>
      </w:tr>
      <w:tr w:rsidR="00B8277B" w:rsidRPr="00FC529F" w14:paraId="55BD7A73" w14:textId="77777777" w:rsidTr="00F7751B">
        <w:tblPrEx>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339E7678" w14:textId="77777777" w:rsidR="00B8277B" w:rsidRPr="00FC529F" w:rsidRDefault="00B8277B" w:rsidP="00F7751B">
            <w:pPr>
              <w:rPr>
                <w:rFonts w:ascii="Calibri" w:hAnsi="Calibri"/>
                <w:sz w:val="20"/>
              </w:rPr>
            </w:pPr>
            <w:r w:rsidRPr="00FC529F">
              <w:rPr>
                <w:rFonts w:ascii="Calibri" w:hAnsi="Calibri"/>
                <w:sz w:val="20"/>
              </w:rPr>
              <w:t>$500,000</w:t>
            </w:r>
          </w:p>
        </w:tc>
        <w:tc>
          <w:tcPr>
            <w:tcW w:w="2040" w:type="dxa"/>
            <w:tcBorders>
              <w:bottom w:val="single" w:sz="10" w:space="0" w:color="000000"/>
              <w:right w:val="single" w:sz="10" w:space="0" w:color="000000"/>
            </w:tcBorders>
            <w:tcMar>
              <w:top w:w="144" w:type="nil"/>
              <w:right w:w="144" w:type="nil"/>
            </w:tcMar>
          </w:tcPr>
          <w:p w14:paraId="6133B741" w14:textId="77777777" w:rsidR="00B8277B" w:rsidRPr="00FC529F" w:rsidRDefault="00B8277B" w:rsidP="00F7751B">
            <w:pPr>
              <w:rPr>
                <w:rFonts w:ascii="Calibri" w:hAnsi="Calibri"/>
                <w:sz w:val="20"/>
              </w:rPr>
            </w:pPr>
            <w:r w:rsidRPr="00FC529F">
              <w:rPr>
                <w:rFonts w:ascii="Calibri" w:hAnsi="Calibri"/>
                <w:sz w:val="20"/>
              </w:rPr>
              <w:t> </w:t>
            </w:r>
          </w:p>
        </w:tc>
        <w:tc>
          <w:tcPr>
            <w:tcW w:w="1700" w:type="dxa"/>
            <w:tcBorders>
              <w:bottom w:val="single" w:sz="10" w:space="0" w:color="000000"/>
              <w:right w:val="single" w:sz="10" w:space="0" w:color="000000"/>
            </w:tcBorders>
            <w:tcMar>
              <w:top w:w="144" w:type="nil"/>
              <w:right w:w="144" w:type="nil"/>
            </w:tcMar>
          </w:tcPr>
          <w:p w14:paraId="180A1467" w14:textId="77777777" w:rsidR="00B8277B" w:rsidRPr="00FC529F" w:rsidRDefault="00B8277B" w:rsidP="00F7751B">
            <w:pPr>
              <w:rPr>
                <w:rFonts w:ascii="Calibri" w:hAnsi="Calibri"/>
                <w:sz w:val="20"/>
              </w:rPr>
            </w:pPr>
            <w:r w:rsidRPr="00FC529F">
              <w:rPr>
                <w:rFonts w:ascii="Calibri" w:hAnsi="Calibri"/>
                <w:sz w:val="20"/>
              </w:rPr>
              <w:t>37%</w:t>
            </w:r>
          </w:p>
        </w:tc>
      </w:tr>
    </w:tbl>
    <w:p w14:paraId="610F6F1C" w14:textId="77777777" w:rsidR="00B8277B" w:rsidRPr="00FC529F" w:rsidRDefault="00B8277B" w:rsidP="00B8277B">
      <w:pPr>
        <w:rPr>
          <w:rFonts w:ascii="Calibri" w:hAnsi="Calibri"/>
          <w:sz w:val="20"/>
        </w:rPr>
      </w:pPr>
    </w:p>
    <w:p w14:paraId="28265D24" w14:textId="77777777" w:rsidR="00B8277B" w:rsidRPr="00FC529F" w:rsidRDefault="00B8277B" w:rsidP="00B8277B">
      <w:pPr>
        <w:rPr>
          <w:rFonts w:ascii="Calibri" w:hAnsi="Calibri"/>
          <w:sz w:val="20"/>
        </w:rPr>
      </w:pPr>
    </w:p>
    <w:p w14:paraId="62CFEAFE" w14:textId="77777777" w:rsidR="00B8277B" w:rsidRPr="00FC529F" w:rsidRDefault="00B8277B" w:rsidP="00B8277B">
      <w:pPr>
        <w:rPr>
          <w:rFonts w:ascii="Calibri" w:hAnsi="Calibri"/>
          <w:b/>
          <w:sz w:val="20"/>
        </w:rPr>
      </w:pPr>
      <w:r w:rsidRPr="003E54B9">
        <w:rPr>
          <w:rFonts w:ascii="MS Gothic" w:eastAsia="MS Gothic" w:hAnsi="MS Gothic" w:cs="MS Gothic" w:hint="eastAsia"/>
          <w:b/>
          <w:sz w:val="20"/>
        </w:rPr>
        <w:t> </w:t>
      </w:r>
      <w:r w:rsidRPr="00FC529F">
        <w:rPr>
          <w:rFonts w:ascii="Calibri" w:hAnsi="Calibri"/>
          <w:b/>
          <w:sz w:val="20"/>
        </w:rPr>
        <w:t>Married filing jointly</w:t>
      </w:r>
    </w:p>
    <w:tbl>
      <w:tblPr>
        <w:tblW w:w="0" w:type="auto"/>
        <w:tblBorders>
          <w:top w:val="nil"/>
          <w:left w:val="nil"/>
          <w:right w:val="nil"/>
        </w:tblBorders>
        <w:tblLayout w:type="fixed"/>
        <w:tblLook w:val="0000" w:firstRow="0" w:lastRow="0" w:firstColumn="0" w:lastColumn="0" w:noHBand="0" w:noVBand="0"/>
      </w:tblPr>
      <w:tblGrid>
        <w:gridCol w:w="2380"/>
        <w:gridCol w:w="2040"/>
        <w:gridCol w:w="1700"/>
      </w:tblGrid>
      <w:tr w:rsidR="00B8277B" w:rsidRPr="00FC529F" w14:paraId="7BB5961E" w14:textId="77777777" w:rsidTr="00F7751B">
        <w:tblPrEx>
          <w:tblCellMar>
            <w:top w:w="0" w:type="dxa"/>
            <w:bottom w:w="0" w:type="dxa"/>
          </w:tblCellMar>
        </w:tblPrEx>
        <w:tc>
          <w:tcPr>
            <w:tcW w:w="2380"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5D7705F6" w14:textId="77777777" w:rsidR="00B8277B" w:rsidRPr="00FC529F" w:rsidRDefault="00B8277B" w:rsidP="00F7751B">
            <w:pPr>
              <w:rPr>
                <w:rFonts w:ascii="Calibri" w:hAnsi="Calibri"/>
                <w:sz w:val="20"/>
              </w:rPr>
            </w:pPr>
            <w:r w:rsidRPr="00FC529F">
              <w:rPr>
                <w:rFonts w:ascii="Calibri" w:hAnsi="Calibri"/>
                <w:sz w:val="20"/>
              </w:rPr>
              <w:t>Taxable income over</w:t>
            </w:r>
          </w:p>
        </w:tc>
        <w:tc>
          <w:tcPr>
            <w:tcW w:w="2040" w:type="dxa"/>
            <w:tcBorders>
              <w:top w:val="single" w:sz="10" w:space="0" w:color="000000"/>
              <w:bottom w:val="single" w:sz="10" w:space="0" w:color="000000"/>
              <w:right w:val="single" w:sz="10" w:space="0" w:color="000000"/>
            </w:tcBorders>
            <w:tcMar>
              <w:top w:w="144" w:type="nil"/>
              <w:right w:w="144" w:type="nil"/>
            </w:tcMar>
          </w:tcPr>
          <w:p w14:paraId="3A2C9997" w14:textId="77777777" w:rsidR="00B8277B" w:rsidRPr="00FC529F" w:rsidRDefault="00B8277B" w:rsidP="00F7751B">
            <w:pPr>
              <w:rPr>
                <w:rFonts w:ascii="Calibri" w:hAnsi="Calibri"/>
                <w:sz w:val="20"/>
              </w:rPr>
            </w:pPr>
            <w:r w:rsidRPr="00FC529F">
              <w:rPr>
                <w:rFonts w:ascii="Calibri" w:hAnsi="Calibri"/>
                <w:sz w:val="20"/>
              </w:rPr>
              <w:t>But not over </w:t>
            </w:r>
          </w:p>
        </w:tc>
        <w:tc>
          <w:tcPr>
            <w:tcW w:w="1700" w:type="dxa"/>
            <w:tcBorders>
              <w:top w:val="single" w:sz="10" w:space="0" w:color="000000"/>
              <w:bottom w:val="single" w:sz="10" w:space="0" w:color="000000"/>
              <w:right w:val="single" w:sz="10" w:space="0" w:color="000000"/>
            </w:tcBorders>
            <w:tcMar>
              <w:top w:w="144" w:type="nil"/>
              <w:right w:w="144" w:type="nil"/>
            </w:tcMar>
          </w:tcPr>
          <w:p w14:paraId="5C0D0CEC" w14:textId="77777777" w:rsidR="00B8277B" w:rsidRPr="00FC529F" w:rsidRDefault="00B8277B" w:rsidP="00F7751B">
            <w:pPr>
              <w:rPr>
                <w:rFonts w:ascii="Calibri" w:hAnsi="Calibri"/>
                <w:sz w:val="20"/>
              </w:rPr>
            </w:pPr>
            <w:r w:rsidRPr="00FC529F">
              <w:rPr>
                <w:rFonts w:ascii="Calibri" w:hAnsi="Calibri"/>
                <w:sz w:val="20"/>
              </w:rPr>
              <w:t>Is taxed at</w:t>
            </w:r>
          </w:p>
        </w:tc>
      </w:tr>
      <w:tr w:rsidR="00B8277B" w:rsidRPr="00FC529F" w14:paraId="132E97A5"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004CFBAE" w14:textId="77777777" w:rsidR="00B8277B" w:rsidRPr="00FC529F" w:rsidRDefault="00B8277B" w:rsidP="00F7751B">
            <w:pPr>
              <w:rPr>
                <w:rFonts w:ascii="Calibri" w:hAnsi="Calibri"/>
                <w:sz w:val="20"/>
              </w:rPr>
            </w:pPr>
            <w:r w:rsidRPr="00FC529F">
              <w:rPr>
                <w:rFonts w:ascii="Calibri" w:hAnsi="Calibri"/>
                <w:sz w:val="20"/>
              </w:rPr>
              <w:t>$0</w:t>
            </w:r>
          </w:p>
        </w:tc>
        <w:tc>
          <w:tcPr>
            <w:tcW w:w="2040" w:type="dxa"/>
            <w:tcBorders>
              <w:bottom w:val="single" w:sz="10" w:space="0" w:color="000000"/>
              <w:right w:val="single" w:sz="10" w:space="0" w:color="000000"/>
            </w:tcBorders>
            <w:tcMar>
              <w:top w:w="144" w:type="nil"/>
              <w:right w:w="144" w:type="nil"/>
            </w:tcMar>
          </w:tcPr>
          <w:p w14:paraId="24600294" w14:textId="77777777" w:rsidR="00B8277B" w:rsidRPr="00FC529F" w:rsidRDefault="00B8277B" w:rsidP="00F7751B">
            <w:pPr>
              <w:rPr>
                <w:rFonts w:ascii="Calibri" w:hAnsi="Calibri"/>
                <w:sz w:val="20"/>
              </w:rPr>
            </w:pPr>
            <w:r w:rsidRPr="00FC529F">
              <w:rPr>
                <w:rFonts w:ascii="Calibri" w:hAnsi="Calibri"/>
                <w:sz w:val="20"/>
              </w:rPr>
              <w:t>$19,050</w:t>
            </w:r>
          </w:p>
        </w:tc>
        <w:tc>
          <w:tcPr>
            <w:tcW w:w="1700" w:type="dxa"/>
            <w:tcBorders>
              <w:bottom w:val="single" w:sz="10" w:space="0" w:color="000000"/>
              <w:right w:val="single" w:sz="10" w:space="0" w:color="000000"/>
            </w:tcBorders>
            <w:tcMar>
              <w:top w:w="144" w:type="nil"/>
              <w:right w:w="144" w:type="nil"/>
            </w:tcMar>
          </w:tcPr>
          <w:p w14:paraId="124F9C5F" w14:textId="77777777" w:rsidR="00B8277B" w:rsidRPr="00FC529F" w:rsidRDefault="00B8277B" w:rsidP="00F7751B">
            <w:pPr>
              <w:rPr>
                <w:rFonts w:ascii="Calibri" w:hAnsi="Calibri"/>
                <w:sz w:val="20"/>
              </w:rPr>
            </w:pPr>
            <w:r w:rsidRPr="00FC529F">
              <w:rPr>
                <w:rFonts w:ascii="Calibri" w:hAnsi="Calibri"/>
                <w:sz w:val="20"/>
              </w:rPr>
              <w:t>10%</w:t>
            </w:r>
          </w:p>
        </w:tc>
      </w:tr>
      <w:tr w:rsidR="00B8277B" w:rsidRPr="00FC529F" w14:paraId="3FD687B8"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7D7C5214" w14:textId="77777777" w:rsidR="00B8277B" w:rsidRPr="00FC529F" w:rsidRDefault="00B8277B" w:rsidP="00F7751B">
            <w:pPr>
              <w:rPr>
                <w:rFonts w:ascii="Calibri" w:hAnsi="Calibri"/>
                <w:sz w:val="20"/>
              </w:rPr>
            </w:pPr>
            <w:r w:rsidRPr="00FC529F">
              <w:rPr>
                <w:rFonts w:ascii="Calibri" w:hAnsi="Calibri"/>
                <w:sz w:val="20"/>
              </w:rPr>
              <w:t>$19,050</w:t>
            </w:r>
          </w:p>
        </w:tc>
        <w:tc>
          <w:tcPr>
            <w:tcW w:w="2040" w:type="dxa"/>
            <w:tcBorders>
              <w:bottom w:val="single" w:sz="10" w:space="0" w:color="000000"/>
              <w:right w:val="single" w:sz="10" w:space="0" w:color="000000"/>
            </w:tcBorders>
            <w:tcMar>
              <w:top w:w="144" w:type="nil"/>
              <w:right w:w="144" w:type="nil"/>
            </w:tcMar>
          </w:tcPr>
          <w:p w14:paraId="2565D1DD" w14:textId="77777777" w:rsidR="00B8277B" w:rsidRPr="00FC529F" w:rsidRDefault="00B8277B" w:rsidP="00F7751B">
            <w:pPr>
              <w:rPr>
                <w:rFonts w:ascii="Calibri" w:hAnsi="Calibri"/>
                <w:sz w:val="20"/>
              </w:rPr>
            </w:pPr>
            <w:r w:rsidRPr="00FC529F">
              <w:rPr>
                <w:rFonts w:ascii="Calibri" w:hAnsi="Calibri"/>
                <w:sz w:val="20"/>
              </w:rPr>
              <w:t>$77,400</w:t>
            </w:r>
          </w:p>
        </w:tc>
        <w:tc>
          <w:tcPr>
            <w:tcW w:w="1700" w:type="dxa"/>
            <w:tcBorders>
              <w:bottom w:val="single" w:sz="10" w:space="0" w:color="000000"/>
              <w:right w:val="single" w:sz="10" w:space="0" w:color="000000"/>
            </w:tcBorders>
            <w:tcMar>
              <w:top w:w="144" w:type="nil"/>
              <w:right w:w="144" w:type="nil"/>
            </w:tcMar>
          </w:tcPr>
          <w:p w14:paraId="4E30C3DB" w14:textId="77777777" w:rsidR="00B8277B" w:rsidRPr="00FC529F" w:rsidRDefault="00B8277B" w:rsidP="00F7751B">
            <w:pPr>
              <w:rPr>
                <w:rFonts w:ascii="Calibri" w:hAnsi="Calibri"/>
                <w:sz w:val="20"/>
              </w:rPr>
            </w:pPr>
            <w:r w:rsidRPr="00FC529F">
              <w:rPr>
                <w:rFonts w:ascii="Calibri" w:hAnsi="Calibri"/>
                <w:sz w:val="20"/>
              </w:rPr>
              <w:t>12%</w:t>
            </w:r>
          </w:p>
        </w:tc>
      </w:tr>
      <w:tr w:rsidR="00B8277B" w:rsidRPr="00FC529F" w14:paraId="7347892B"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24216B8C" w14:textId="77777777" w:rsidR="00B8277B" w:rsidRPr="00FC529F" w:rsidRDefault="00B8277B" w:rsidP="00F7751B">
            <w:pPr>
              <w:rPr>
                <w:rFonts w:ascii="Calibri" w:hAnsi="Calibri"/>
                <w:sz w:val="20"/>
              </w:rPr>
            </w:pPr>
            <w:r w:rsidRPr="00FC529F">
              <w:rPr>
                <w:rFonts w:ascii="Calibri" w:hAnsi="Calibri"/>
                <w:sz w:val="20"/>
              </w:rPr>
              <w:t>$77,400</w:t>
            </w:r>
          </w:p>
        </w:tc>
        <w:tc>
          <w:tcPr>
            <w:tcW w:w="2040" w:type="dxa"/>
            <w:tcBorders>
              <w:bottom w:val="single" w:sz="10" w:space="0" w:color="000000"/>
              <w:right w:val="single" w:sz="10" w:space="0" w:color="000000"/>
            </w:tcBorders>
            <w:tcMar>
              <w:top w:w="144" w:type="nil"/>
              <w:right w:w="144" w:type="nil"/>
            </w:tcMar>
          </w:tcPr>
          <w:p w14:paraId="31279B33" w14:textId="77777777" w:rsidR="00B8277B" w:rsidRPr="00FC529F" w:rsidRDefault="00B8277B" w:rsidP="00F7751B">
            <w:pPr>
              <w:rPr>
                <w:rFonts w:ascii="Calibri" w:hAnsi="Calibri"/>
                <w:sz w:val="20"/>
              </w:rPr>
            </w:pPr>
            <w:r w:rsidRPr="00FC529F">
              <w:rPr>
                <w:rFonts w:ascii="Calibri" w:hAnsi="Calibri"/>
                <w:sz w:val="20"/>
              </w:rPr>
              <w:t>$165,000</w:t>
            </w:r>
          </w:p>
        </w:tc>
        <w:tc>
          <w:tcPr>
            <w:tcW w:w="1700" w:type="dxa"/>
            <w:tcBorders>
              <w:bottom w:val="single" w:sz="10" w:space="0" w:color="000000"/>
              <w:right w:val="single" w:sz="10" w:space="0" w:color="000000"/>
            </w:tcBorders>
            <w:tcMar>
              <w:top w:w="144" w:type="nil"/>
              <w:right w:w="144" w:type="nil"/>
            </w:tcMar>
          </w:tcPr>
          <w:p w14:paraId="5779B5FD" w14:textId="77777777" w:rsidR="00B8277B" w:rsidRPr="00FC529F" w:rsidRDefault="00B8277B" w:rsidP="00F7751B">
            <w:pPr>
              <w:rPr>
                <w:rFonts w:ascii="Calibri" w:hAnsi="Calibri"/>
                <w:sz w:val="20"/>
              </w:rPr>
            </w:pPr>
            <w:r w:rsidRPr="00FC529F">
              <w:rPr>
                <w:rFonts w:ascii="Calibri" w:hAnsi="Calibri"/>
                <w:sz w:val="20"/>
              </w:rPr>
              <w:t>22%</w:t>
            </w:r>
          </w:p>
        </w:tc>
      </w:tr>
      <w:tr w:rsidR="00B8277B" w:rsidRPr="00FC529F" w14:paraId="7178FC1B"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1A6623CB" w14:textId="77777777" w:rsidR="00B8277B" w:rsidRPr="00FC529F" w:rsidRDefault="00B8277B" w:rsidP="00F7751B">
            <w:pPr>
              <w:rPr>
                <w:rFonts w:ascii="Calibri" w:hAnsi="Calibri"/>
                <w:sz w:val="20"/>
              </w:rPr>
            </w:pPr>
            <w:r w:rsidRPr="00FC529F">
              <w:rPr>
                <w:rFonts w:ascii="Calibri" w:hAnsi="Calibri"/>
                <w:sz w:val="20"/>
              </w:rPr>
              <w:t>$165,000</w:t>
            </w:r>
          </w:p>
        </w:tc>
        <w:tc>
          <w:tcPr>
            <w:tcW w:w="2040" w:type="dxa"/>
            <w:tcBorders>
              <w:bottom w:val="single" w:sz="10" w:space="0" w:color="000000"/>
              <w:right w:val="single" w:sz="10" w:space="0" w:color="000000"/>
            </w:tcBorders>
            <w:tcMar>
              <w:top w:w="144" w:type="nil"/>
              <w:right w:w="144" w:type="nil"/>
            </w:tcMar>
          </w:tcPr>
          <w:p w14:paraId="5B77EF3F" w14:textId="77777777" w:rsidR="00B8277B" w:rsidRPr="00FC529F" w:rsidRDefault="00B8277B" w:rsidP="00F7751B">
            <w:pPr>
              <w:rPr>
                <w:rFonts w:ascii="Calibri" w:hAnsi="Calibri"/>
                <w:sz w:val="20"/>
              </w:rPr>
            </w:pPr>
            <w:r w:rsidRPr="00FC529F">
              <w:rPr>
                <w:rFonts w:ascii="Calibri" w:hAnsi="Calibri"/>
                <w:sz w:val="20"/>
              </w:rPr>
              <w:t>$315,000</w:t>
            </w:r>
          </w:p>
        </w:tc>
        <w:tc>
          <w:tcPr>
            <w:tcW w:w="1700" w:type="dxa"/>
            <w:tcBorders>
              <w:bottom w:val="single" w:sz="10" w:space="0" w:color="000000"/>
              <w:right w:val="single" w:sz="10" w:space="0" w:color="000000"/>
            </w:tcBorders>
            <w:tcMar>
              <w:top w:w="144" w:type="nil"/>
              <w:right w:w="144" w:type="nil"/>
            </w:tcMar>
          </w:tcPr>
          <w:p w14:paraId="23222F30" w14:textId="77777777" w:rsidR="00B8277B" w:rsidRPr="00FC529F" w:rsidRDefault="00B8277B" w:rsidP="00F7751B">
            <w:pPr>
              <w:rPr>
                <w:rFonts w:ascii="Calibri" w:hAnsi="Calibri"/>
                <w:sz w:val="20"/>
              </w:rPr>
            </w:pPr>
            <w:r w:rsidRPr="00FC529F">
              <w:rPr>
                <w:rFonts w:ascii="Calibri" w:hAnsi="Calibri"/>
                <w:sz w:val="20"/>
              </w:rPr>
              <w:t>24%</w:t>
            </w:r>
          </w:p>
        </w:tc>
      </w:tr>
      <w:tr w:rsidR="00B8277B" w:rsidRPr="00FC529F" w14:paraId="21D1CB2F"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496C9670" w14:textId="77777777" w:rsidR="00B8277B" w:rsidRPr="00FC529F" w:rsidRDefault="00B8277B" w:rsidP="00F7751B">
            <w:pPr>
              <w:rPr>
                <w:rFonts w:ascii="Calibri" w:hAnsi="Calibri"/>
                <w:sz w:val="20"/>
              </w:rPr>
            </w:pPr>
            <w:r w:rsidRPr="00FC529F">
              <w:rPr>
                <w:rFonts w:ascii="Calibri" w:hAnsi="Calibri"/>
                <w:sz w:val="20"/>
              </w:rPr>
              <w:t>$315,000</w:t>
            </w:r>
          </w:p>
        </w:tc>
        <w:tc>
          <w:tcPr>
            <w:tcW w:w="2040" w:type="dxa"/>
            <w:tcBorders>
              <w:bottom w:val="single" w:sz="10" w:space="0" w:color="000000"/>
              <w:right w:val="single" w:sz="10" w:space="0" w:color="000000"/>
            </w:tcBorders>
            <w:tcMar>
              <w:top w:w="144" w:type="nil"/>
              <w:right w:w="144" w:type="nil"/>
            </w:tcMar>
          </w:tcPr>
          <w:p w14:paraId="65D41FA0" w14:textId="77777777" w:rsidR="00B8277B" w:rsidRPr="00FC529F" w:rsidRDefault="00B8277B" w:rsidP="00F7751B">
            <w:pPr>
              <w:rPr>
                <w:rFonts w:ascii="Calibri" w:hAnsi="Calibri"/>
                <w:sz w:val="20"/>
              </w:rPr>
            </w:pPr>
            <w:r w:rsidRPr="00FC529F">
              <w:rPr>
                <w:rFonts w:ascii="Calibri" w:hAnsi="Calibri"/>
                <w:sz w:val="20"/>
              </w:rPr>
              <w:t>$400,000</w:t>
            </w:r>
          </w:p>
        </w:tc>
        <w:tc>
          <w:tcPr>
            <w:tcW w:w="1700" w:type="dxa"/>
            <w:tcBorders>
              <w:bottom w:val="single" w:sz="10" w:space="0" w:color="000000"/>
              <w:right w:val="single" w:sz="10" w:space="0" w:color="000000"/>
            </w:tcBorders>
            <w:tcMar>
              <w:top w:w="144" w:type="nil"/>
              <w:right w:w="144" w:type="nil"/>
            </w:tcMar>
          </w:tcPr>
          <w:p w14:paraId="15CE2E45" w14:textId="77777777" w:rsidR="00B8277B" w:rsidRPr="00FC529F" w:rsidRDefault="00B8277B" w:rsidP="00F7751B">
            <w:pPr>
              <w:rPr>
                <w:rFonts w:ascii="Calibri" w:hAnsi="Calibri"/>
                <w:sz w:val="20"/>
              </w:rPr>
            </w:pPr>
            <w:r w:rsidRPr="00FC529F">
              <w:rPr>
                <w:rFonts w:ascii="Calibri" w:hAnsi="Calibri"/>
                <w:sz w:val="20"/>
              </w:rPr>
              <w:t>32%</w:t>
            </w:r>
          </w:p>
        </w:tc>
      </w:tr>
      <w:tr w:rsidR="00B8277B" w:rsidRPr="00FC529F" w14:paraId="2D21E394"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086C93CF" w14:textId="77777777" w:rsidR="00B8277B" w:rsidRPr="00FC529F" w:rsidRDefault="00B8277B" w:rsidP="00F7751B">
            <w:pPr>
              <w:rPr>
                <w:rFonts w:ascii="Calibri" w:hAnsi="Calibri"/>
                <w:sz w:val="20"/>
              </w:rPr>
            </w:pPr>
            <w:r w:rsidRPr="00FC529F">
              <w:rPr>
                <w:rFonts w:ascii="Calibri" w:hAnsi="Calibri"/>
                <w:sz w:val="20"/>
              </w:rPr>
              <w:t>$400,000</w:t>
            </w:r>
          </w:p>
        </w:tc>
        <w:tc>
          <w:tcPr>
            <w:tcW w:w="2040" w:type="dxa"/>
            <w:tcBorders>
              <w:bottom w:val="single" w:sz="10" w:space="0" w:color="000000"/>
              <w:right w:val="single" w:sz="10" w:space="0" w:color="000000"/>
            </w:tcBorders>
            <w:tcMar>
              <w:top w:w="144" w:type="nil"/>
              <w:right w:w="144" w:type="nil"/>
            </w:tcMar>
          </w:tcPr>
          <w:p w14:paraId="486F157C" w14:textId="77777777" w:rsidR="00B8277B" w:rsidRPr="00FC529F" w:rsidRDefault="00B8277B" w:rsidP="00F7751B">
            <w:pPr>
              <w:rPr>
                <w:rFonts w:ascii="Calibri" w:hAnsi="Calibri"/>
                <w:sz w:val="20"/>
              </w:rPr>
            </w:pPr>
            <w:r w:rsidRPr="00FC529F">
              <w:rPr>
                <w:rFonts w:ascii="Calibri" w:hAnsi="Calibri"/>
                <w:sz w:val="20"/>
              </w:rPr>
              <w:t>$600,000</w:t>
            </w:r>
          </w:p>
        </w:tc>
        <w:tc>
          <w:tcPr>
            <w:tcW w:w="1700" w:type="dxa"/>
            <w:tcBorders>
              <w:bottom w:val="single" w:sz="10" w:space="0" w:color="000000"/>
              <w:right w:val="single" w:sz="10" w:space="0" w:color="000000"/>
            </w:tcBorders>
            <w:tcMar>
              <w:top w:w="144" w:type="nil"/>
              <w:right w:w="144" w:type="nil"/>
            </w:tcMar>
          </w:tcPr>
          <w:p w14:paraId="6898131B" w14:textId="77777777" w:rsidR="00B8277B" w:rsidRPr="00FC529F" w:rsidRDefault="00B8277B" w:rsidP="00F7751B">
            <w:pPr>
              <w:rPr>
                <w:rFonts w:ascii="Calibri" w:hAnsi="Calibri"/>
                <w:sz w:val="20"/>
              </w:rPr>
            </w:pPr>
            <w:r w:rsidRPr="00FC529F">
              <w:rPr>
                <w:rFonts w:ascii="Calibri" w:hAnsi="Calibri"/>
                <w:sz w:val="20"/>
              </w:rPr>
              <w:t>35%</w:t>
            </w:r>
          </w:p>
        </w:tc>
      </w:tr>
      <w:tr w:rsidR="00B8277B" w:rsidRPr="00FC529F" w14:paraId="76449B48" w14:textId="77777777" w:rsidTr="00F7751B">
        <w:tblPrEx>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08246668" w14:textId="77777777" w:rsidR="00B8277B" w:rsidRPr="00FC529F" w:rsidRDefault="00B8277B" w:rsidP="00F7751B">
            <w:pPr>
              <w:rPr>
                <w:rFonts w:ascii="Calibri" w:hAnsi="Calibri"/>
                <w:sz w:val="20"/>
              </w:rPr>
            </w:pPr>
            <w:r w:rsidRPr="00FC529F">
              <w:rPr>
                <w:rFonts w:ascii="Calibri" w:hAnsi="Calibri"/>
                <w:sz w:val="20"/>
              </w:rPr>
              <w:t>$600,000</w:t>
            </w:r>
          </w:p>
        </w:tc>
        <w:tc>
          <w:tcPr>
            <w:tcW w:w="2040" w:type="dxa"/>
            <w:tcBorders>
              <w:bottom w:val="single" w:sz="10" w:space="0" w:color="000000"/>
              <w:right w:val="single" w:sz="10" w:space="0" w:color="000000"/>
            </w:tcBorders>
            <w:tcMar>
              <w:top w:w="144" w:type="nil"/>
              <w:right w:w="144" w:type="nil"/>
            </w:tcMar>
          </w:tcPr>
          <w:p w14:paraId="77795BC0" w14:textId="77777777" w:rsidR="00B8277B" w:rsidRPr="00FC529F" w:rsidRDefault="00B8277B" w:rsidP="00F7751B">
            <w:pPr>
              <w:rPr>
                <w:rFonts w:ascii="Calibri" w:hAnsi="Calibri"/>
                <w:sz w:val="20"/>
              </w:rPr>
            </w:pPr>
            <w:r w:rsidRPr="00FC529F">
              <w:rPr>
                <w:rFonts w:ascii="Calibri" w:hAnsi="Calibri"/>
                <w:sz w:val="20"/>
              </w:rPr>
              <w:t> </w:t>
            </w:r>
          </w:p>
        </w:tc>
        <w:tc>
          <w:tcPr>
            <w:tcW w:w="1700" w:type="dxa"/>
            <w:tcBorders>
              <w:bottom w:val="single" w:sz="10" w:space="0" w:color="000000"/>
              <w:right w:val="single" w:sz="10" w:space="0" w:color="000000"/>
            </w:tcBorders>
            <w:tcMar>
              <w:top w:w="144" w:type="nil"/>
              <w:right w:w="144" w:type="nil"/>
            </w:tcMar>
          </w:tcPr>
          <w:p w14:paraId="05C1C8E5" w14:textId="77777777" w:rsidR="00B8277B" w:rsidRPr="00FC529F" w:rsidRDefault="00B8277B" w:rsidP="00F7751B">
            <w:pPr>
              <w:rPr>
                <w:rFonts w:ascii="Calibri" w:hAnsi="Calibri"/>
                <w:sz w:val="20"/>
              </w:rPr>
            </w:pPr>
            <w:r w:rsidRPr="00FC529F">
              <w:rPr>
                <w:rFonts w:ascii="Calibri" w:hAnsi="Calibri"/>
                <w:sz w:val="20"/>
              </w:rPr>
              <w:t>37%</w:t>
            </w:r>
          </w:p>
        </w:tc>
      </w:tr>
    </w:tbl>
    <w:p w14:paraId="41060BCC" w14:textId="77777777" w:rsidR="00B8277B" w:rsidRPr="00FC529F" w:rsidRDefault="00B8277B" w:rsidP="00B8277B">
      <w:pPr>
        <w:rPr>
          <w:rFonts w:ascii="Calibri" w:hAnsi="Calibri"/>
          <w:sz w:val="20"/>
        </w:rPr>
      </w:pPr>
    </w:p>
    <w:p w14:paraId="1FFF67A7" w14:textId="77777777" w:rsidR="00B8277B" w:rsidRPr="00FC529F" w:rsidRDefault="00B8277B" w:rsidP="00B8277B">
      <w:pPr>
        <w:rPr>
          <w:rFonts w:ascii="Calibri" w:hAnsi="Calibri"/>
          <w:b/>
          <w:sz w:val="20"/>
        </w:rPr>
      </w:pPr>
      <w:r w:rsidRPr="003E54B9">
        <w:rPr>
          <w:rFonts w:ascii="MS Gothic" w:eastAsia="MS Gothic" w:hAnsi="MS Gothic" w:cs="MS Gothic" w:hint="eastAsia"/>
          <w:b/>
          <w:sz w:val="20"/>
        </w:rPr>
        <w:t> </w:t>
      </w:r>
      <w:r w:rsidRPr="00FC529F">
        <w:rPr>
          <w:rFonts w:ascii="Calibri" w:hAnsi="Calibri"/>
          <w:b/>
          <w:sz w:val="20"/>
        </w:rPr>
        <w:t>Married filing separately</w:t>
      </w:r>
    </w:p>
    <w:tbl>
      <w:tblPr>
        <w:tblW w:w="0" w:type="auto"/>
        <w:tblBorders>
          <w:top w:val="nil"/>
          <w:left w:val="nil"/>
          <w:right w:val="nil"/>
        </w:tblBorders>
        <w:tblLayout w:type="fixed"/>
        <w:tblLook w:val="0000" w:firstRow="0" w:lastRow="0" w:firstColumn="0" w:lastColumn="0" w:noHBand="0" w:noVBand="0"/>
      </w:tblPr>
      <w:tblGrid>
        <w:gridCol w:w="2380"/>
        <w:gridCol w:w="2040"/>
        <w:gridCol w:w="1700"/>
      </w:tblGrid>
      <w:tr w:rsidR="00B8277B" w:rsidRPr="00FC529F" w14:paraId="001D5FDA" w14:textId="77777777" w:rsidTr="00F7751B">
        <w:tblPrEx>
          <w:tblCellMar>
            <w:top w:w="0" w:type="dxa"/>
            <w:bottom w:w="0" w:type="dxa"/>
          </w:tblCellMar>
        </w:tblPrEx>
        <w:tc>
          <w:tcPr>
            <w:tcW w:w="2380"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243843A4" w14:textId="77777777" w:rsidR="00B8277B" w:rsidRPr="00FC529F" w:rsidRDefault="00B8277B" w:rsidP="00F7751B">
            <w:pPr>
              <w:rPr>
                <w:rFonts w:ascii="Calibri" w:hAnsi="Calibri"/>
                <w:sz w:val="20"/>
              </w:rPr>
            </w:pPr>
            <w:r w:rsidRPr="00FC529F">
              <w:rPr>
                <w:rFonts w:ascii="Calibri" w:hAnsi="Calibri"/>
                <w:sz w:val="20"/>
              </w:rPr>
              <w:t>Taxable income over</w:t>
            </w:r>
          </w:p>
        </w:tc>
        <w:tc>
          <w:tcPr>
            <w:tcW w:w="2040" w:type="dxa"/>
            <w:tcBorders>
              <w:top w:val="single" w:sz="10" w:space="0" w:color="000000"/>
              <w:bottom w:val="single" w:sz="10" w:space="0" w:color="000000"/>
              <w:right w:val="single" w:sz="10" w:space="0" w:color="000000"/>
            </w:tcBorders>
            <w:tcMar>
              <w:top w:w="144" w:type="nil"/>
              <w:right w:w="144" w:type="nil"/>
            </w:tcMar>
          </w:tcPr>
          <w:p w14:paraId="1D87B97B" w14:textId="77777777" w:rsidR="00B8277B" w:rsidRPr="00FC529F" w:rsidRDefault="00B8277B" w:rsidP="00F7751B">
            <w:pPr>
              <w:rPr>
                <w:rFonts w:ascii="Calibri" w:hAnsi="Calibri"/>
                <w:sz w:val="20"/>
              </w:rPr>
            </w:pPr>
            <w:r w:rsidRPr="00FC529F">
              <w:rPr>
                <w:rFonts w:ascii="Calibri" w:hAnsi="Calibri"/>
                <w:sz w:val="20"/>
              </w:rPr>
              <w:t>But not over </w:t>
            </w:r>
          </w:p>
        </w:tc>
        <w:tc>
          <w:tcPr>
            <w:tcW w:w="1700" w:type="dxa"/>
            <w:tcBorders>
              <w:top w:val="single" w:sz="10" w:space="0" w:color="000000"/>
              <w:bottom w:val="single" w:sz="10" w:space="0" w:color="000000"/>
              <w:right w:val="single" w:sz="10" w:space="0" w:color="000000"/>
            </w:tcBorders>
            <w:tcMar>
              <w:top w:w="144" w:type="nil"/>
              <w:right w:w="144" w:type="nil"/>
            </w:tcMar>
          </w:tcPr>
          <w:p w14:paraId="7AE3616C" w14:textId="77777777" w:rsidR="00B8277B" w:rsidRPr="00FC529F" w:rsidRDefault="00B8277B" w:rsidP="00F7751B">
            <w:pPr>
              <w:rPr>
                <w:rFonts w:ascii="Calibri" w:hAnsi="Calibri"/>
                <w:sz w:val="20"/>
              </w:rPr>
            </w:pPr>
            <w:r w:rsidRPr="00FC529F">
              <w:rPr>
                <w:rFonts w:ascii="Calibri" w:hAnsi="Calibri"/>
                <w:sz w:val="20"/>
              </w:rPr>
              <w:t>Is taxed at</w:t>
            </w:r>
          </w:p>
        </w:tc>
      </w:tr>
      <w:tr w:rsidR="00B8277B" w:rsidRPr="00FC529F" w14:paraId="00E15481"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01F2EC2A" w14:textId="77777777" w:rsidR="00B8277B" w:rsidRPr="00FC529F" w:rsidRDefault="00B8277B" w:rsidP="00F7751B">
            <w:pPr>
              <w:rPr>
                <w:rFonts w:ascii="Calibri" w:hAnsi="Calibri"/>
                <w:sz w:val="20"/>
              </w:rPr>
            </w:pPr>
            <w:r w:rsidRPr="00FC529F">
              <w:rPr>
                <w:rFonts w:ascii="Calibri" w:hAnsi="Calibri"/>
                <w:sz w:val="20"/>
              </w:rPr>
              <w:t>$0</w:t>
            </w:r>
          </w:p>
        </w:tc>
        <w:tc>
          <w:tcPr>
            <w:tcW w:w="2040" w:type="dxa"/>
            <w:tcBorders>
              <w:bottom w:val="single" w:sz="10" w:space="0" w:color="000000"/>
              <w:right w:val="single" w:sz="10" w:space="0" w:color="000000"/>
            </w:tcBorders>
            <w:tcMar>
              <w:top w:w="144" w:type="nil"/>
              <w:right w:w="144" w:type="nil"/>
            </w:tcMar>
          </w:tcPr>
          <w:p w14:paraId="5F5AC30D" w14:textId="77777777" w:rsidR="00B8277B" w:rsidRPr="00FC529F" w:rsidRDefault="00B8277B" w:rsidP="00F7751B">
            <w:pPr>
              <w:rPr>
                <w:rFonts w:ascii="Calibri" w:hAnsi="Calibri"/>
                <w:sz w:val="20"/>
              </w:rPr>
            </w:pPr>
            <w:r w:rsidRPr="00FC529F">
              <w:rPr>
                <w:rFonts w:ascii="Calibri" w:hAnsi="Calibri"/>
                <w:sz w:val="20"/>
              </w:rPr>
              <w:t>$9,525</w:t>
            </w:r>
          </w:p>
        </w:tc>
        <w:tc>
          <w:tcPr>
            <w:tcW w:w="1700" w:type="dxa"/>
            <w:tcBorders>
              <w:bottom w:val="single" w:sz="10" w:space="0" w:color="000000"/>
              <w:right w:val="single" w:sz="10" w:space="0" w:color="000000"/>
            </w:tcBorders>
            <w:tcMar>
              <w:top w:w="144" w:type="nil"/>
              <w:right w:w="144" w:type="nil"/>
            </w:tcMar>
          </w:tcPr>
          <w:p w14:paraId="37F9AFFD" w14:textId="77777777" w:rsidR="00B8277B" w:rsidRPr="00FC529F" w:rsidRDefault="00B8277B" w:rsidP="00F7751B">
            <w:pPr>
              <w:rPr>
                <w:rFonts w:ascii="Calibri" w:hAnsi="Calibri"/>
                <w:sz w:val="20"/>
              </w:rPr>
            </w:pPr>
            <w:r w:rsidRPr="00FC529F">
              <w:rPr>
                <w:rFonts w:ascii="Calibri" w:hAnsi="Calibri"/>
                <w:sz w:val="20"/>
              </w:rPr>
              <w:t>10%</w:t>
            </w:r>
          </w:p>
        </w:tc>
      </w:tr>
      <w:tr w:rsidR="00B8277B" w:rsidRPr="00FC529F" w14:paraId="7511F0AA"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5F73994D" w14:textId="77777777" w:rsidR="00B8277B" w:rsidRPr="00FC529F" w:rsidRDefault="00B8277B" w:rsidP="00F7751B">
            <w:pPr>
              <w:rPr>
                <w:rFonts w:ascii="Calibri" w:hAnsi="Calibri"/>
                <w:sz w:val="20"/>
              </w:rPr>
            </w:pPr>
            <w:r w:rsidRPr="00FC529F">
              <w:rPr>
                <w:rFonts w:ascii="Calibri" w:hAnsi="Calibri"/>
                <w:sz w:val="20"/>
              </w:rPr>
              <w:t>$9,525</w:t>
            </w:r>
          </w:p>
        </w:tc>
        <w:tc>
          <w:tcPr>
            <w:tcW w:w="2040" w:type="dxa"/>
            <w:tcBorders>
              <w:bottom w:val="single" w:sz="10" w:space="0" w:color="000000"/>
              <w:right w:val="single" w:sz="10" w:space="0" w:color="000000"/>
            </w:tcBorders>
            <w:tcMar>
              <w:top w:w="144" w:type="nil"/>
              <w:right w:w="144" w:type="nil"/>
            </w:tcMar>
          </w:tcPr>
          <w:p w14:paraId="70CD00E7" w14:textId="77777777" w:rsidR="00B8277B" w:rsidRPr="00FC529F" w:rsidRDefault="00B8277B" w:rsidP="00F7751B">
            <w:pPr>
              <w:rPr>
                <w:rFonts w:ascii="Calibri" w:hAnsi="Calibri"/>
                <w:sz w:val="20"/>
              </w:rPr>
            </w:pPr>
            <w:r w:rsidRPr="00FC529F">
              <w:rPr>
                <w:rFonts w:ascii="Calibri" w:hAnsi="Calibri"/>
                <w:sz w:val="20"/>
              </w:rPr>
              <w:t>$38,700</w:t>
            </w:r>
          </w:p>
        </w:tc>
        <w:tc>
          <w:tcPr>
            <w:tcW w:w="1700" w:type="dxa"/>
            <w:tcBorders>
              <w:bottom w:val="single" w:sz="10" w:space="0" w:color="000000"/>
              <w:right w:val="single" w:sz="10" w:space="0" w:color="000000"/>
            </w:tcBorders>
            <w:tcMar>
              <w:top w:w="144" w:type="nil"/>
              <w:right w:w="144" w:type="nil"/>
            </w:tcMar>
          </w:tcPr>
          <w:p w14:paraId="03A892BC" w14:textId="77777777" w:rsidR="00B8277B" w:rsidRPr="00FC529F" w:rsidRDefault="00B8277B" w:rsidP="00F7751B">
            <w:pPr>
              <w:rPr>
                <w:rFonts w:ascii="Calibri" w:hAnsi="Calibri"/>
                <w:sz w:val="20"/>
              </w:rPr>
            </w:pPr>
            <w:r w:rsidRPr="00FC529F">
              <w:rPr>
                <w:rFonts w:ascii="Calibri" w:hAnsi="Calibri"/>
                <w:sz w:val="20"/>
              </w:rPr>
              <w:t>12%</w:t>
            </w:r>
          </w:p>
        </w:tc>
      </w:tr>
      <w:tr w:rsidR="00B8277B" w:rsidRPr="00FC529F" w14:paraId="531D0D13"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4C4A96B4" w14:textId="77777777" w:rsidR="00B8277B" w:rsidRPr="00FC529F" w:rsidRDefault="00B8277B" w:rsidP="00F7751B">
            <w:pPr>
              <w:rPr>
                <w:rFonts w:ascii="Calibri" w:hAnsi="Calibri"/>
                <w:sz w:val="20"/>
              </w:rPr>
            </w:pPr>
            <w:r w:rsidRPr="00FC529F">
              <w:rPr>
                <w:rFonts w:ascii="Calibri" w:hAnsi="Calibri"/>
                <w:sz w:val="20"/>
              </w:rPr>
              <w:t>$38,700</w:t>
            </w:r>
          </w:p>
        </w:tc>
        <w:tc>
          <w:tcPr>
            <w:tcW w:w="2040" w:type="dxa"/>
            <w:tcBorders>
              <w:bottom w:val="single" w:sz="10" w:space="0" w:color="000000"/>
              <w:right w:val="single" w:sz="10" w:space="0" w:color="000000"/>
            </w:tcBorders>
            <w:tcMar>
              <w:top w:w="144" w:type="nil"/>
              <w:right w:w="144" w:type="nil"/>
            </w:tcMar>
          </w:tcPr>
          <w:p w14:paraId="6484556C" w14:textId="77777777" w:rsidR="00B8277B" w:rsidRPr="00FC529F" w:rsidRDefault="00B8277B" w:rsidP="00F7751B">
            <w:pPr>
              <w:rPr>
                <w:rFonts w:ascii="Calibri" w:hAnsi="Calibri"/>
                <w:sz w:val="20"/>
              </w:rPr>
            </w:pPr>
            <w:r w:rsidRPr="00FC529F">
              <w:rPr>
                <w:rFonts w:ascii="Calibri" w:hAnsi="Calibri"/>
                <w:sz w:val="20"/>
              </w:rPr>
              <w:t>$82,500</w:t>
            </w:r>
          </w:p>
        </w:tc>
        <w:tc>
          <w:tcPr>
            <w:tcW w:w="1700" w:type="dxa"/>
            <w:tcBorders>
              <w:bottom w:val="single" w:sz="10" w:space="0" w:color="000000"/>
              <w:right w:val="single" w:sz="10" w:space="0" w:color="000000"/>
            </w:tcBorders>
            <w:tcMar>
              <w:top w:w="144" w:type="nil"/>
              <w:right w:w="144" w:type="nil"/>
            </w:tcMar>
          </w:tcPr>
          <w:p w14:paraId="43CE0EDD" w14:textId="77777777" w:rsidR="00B8277B" w:rsidRPr="00FC529F" w:rsidRDefault="00B8277B" w:rsidP="00F7751B">
            <w:pPr>
              <w:rPr>
                <w:rFonts w:ascii="Calibri" w:hAnsi="Calibri"/>
                <w:sz w:val="20"/>
              </w:rPr>
            </w:pPr>
            <w:r w:rsidRPr="00FC529F">
              <w:rPr>
                <w:rFonts w:ascii="Calibri" w:hAnsi="Calibri"/>
                <w:sz w:val="20"/>
              </w:rPr>
              <w:t>22%</w:t>
            </w:r>
          </w:p>
        </w:tc>
      </w:tr>
      <w:tr w:rsidR="00B8277B" w:rsidRPr="00FC529F" w14:paraId="22EFEFA9"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1C8B751C" w14:textId="77777777" w:rsidR="00B8277B" w:rsidRPr="00FC529F" w:rsidRDefault="00B8277B" w:rsidP="00F7751B">
            <w:pPr>
              <w:rPr>
                <w:rFonts w:ascii="Calibri" w:hAnsi="Calibri"/>
                <w:sz w:val="20"/>
              </w:rPr>
            </w:pPr>
            <w:r w:rsidRPr="00FC529F">
              <w:rPr>
                <w:rFonts w:ascii="Calibri" w:hAnsi="Calibri"/>
                <w:sz w:val="20"/>
              </w:rPr>
              <w:t>$82,500</w:t>
            </w:r>
          </w:p>
        </w:tc>
        <w:tc>
          <w:tcPr>
            <w:tcW w:w="2040" w:type="dxa"/>
            <w:tcBorders>
              <w:bottom w:val="single" w:sz="10" w:space="0" w:color="000000"/>
              <w:right w:val="single" w:sz="10" w:space="0" w:color="000000"/>
            </w:tcBorders>
            <w:tcMar>
              <w:top w:w="144" w:type="nil"/>
              <w:right w:w="144" w:type="nil"/>
            </w:tcMar>
          </w:tcPr>
          <w:p w14:paraId="2D187988" w14:textId="77777777" w:rsidR="00B8277B" w:rsidRPr="00FC529F" w:rsidRDefault="00B8277B" w:rsidP="00F7751B">
            <w:pPr>
              <w:rPr>
                <w:rFonts w:ascii="Calibri" w:hAnsi="Calibri"/>
                <w:sz w:val="20"/>
              </w:rPr>
            </w:pPr>
            <w:r w:rsidRPr="00FC529F">
              <w:rPr>
                <w:rFonts w:ascii="Calibri" w:hAnsi="Calibri"/>
                <w:sz w:val="20"/>
              </w:rPr>
              <w:t>$157,500</w:t>
            </w:r>
          </w:p>
        </w:tc>
        <w:tc>
          <w:tcPr>
            <w:tcW w:w="1700" w:type="dxa"/>
            <w:tcBorders>
              <w:bottom w:val="single" w:sz="10" w:space="0" w:color="000000"/>
              <w:right w:val="single" w:sz="10" w:space="0" w:color="000000"/>
            </w:tcBorders>
            <w:tcMar>
              <w:top w:w="144" w:type="nil"/>
              <w:right w:w="144" w:type="nil"/>
            </w:tcMar>
          </w:tcPr>
          <w:p w14:paraId="1EFB1F64" w14:textId="77777777" w:rsidR="00B8277B" w:rsidRPr="00FC529F" w:rsidRDefault="00B8277B" w:rsidP="00F7751B">
            <w:pPr>
              <w:rPr>
                <w:rFonts w:ascii="Calibri" w:hAnsi="Calibri"/>
                <w:sz w:val="20"/>
              </w:rPr>
            </w:pPr>
            <w:r w:rsidRPr="00FC529F">
              <w:rPr>
                <w:rFonts w:ascii="Calibri" w:hAnsi="Calibri"/>
                <w:sz w:val="20"/>
              </w:rPr>
              <w:t>24%</w:t>
            </w:r>
          </w:p>
        </w:tc>
      </w:tr>
      <w:tr w:rsidR="00B8277B" w:rsidRPr="00FC529F" w14:paraId="2B471562"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69C9DFF0" w14:textId="77777777" w:rsidR="00B8277B" w:rsidRPr="00FC529F" w:rsidRDefault="00B8277B" w:rsidP="00F7751B">
            <w:pPr>
              <w:rPr>
                <w:rFonts w:ascii="Calibri" w:hAnsi="Calibri"/>
                <w:sz w:val="20"/>
              </w:rPr>
            </w:pPr>
            <w:r w:rsidRPr="00FC529F">
              <w:rPr>
                <w:rFonts w:ascii="Calibri" w:hAnsi="Calibri"/>
                <w:sz w:val="20"/>
              </w:rPr>
              <w:t>$157,500</w:t>
            </w:r>
          </w:p>
        </w:tc>
        <w:tc>
          <w:tcPr>
            <w:tcW w:w="2040" w:type="dxa"/>
            <w:tcBorders>
              <w:bottom w:val="single" w:sz="10" w:space="0" w:color="000000"/>
              <w:right w:val="single" w:sz="10" w:space="0" w:color="000000"/>
            </w:tcBorders>
            <w:tcMar>
              <w:top w:w="144" w:type="nil"/>
              <w:right w:w="144" w:type="nil"/>
            </w:tcMar>
          </w:tcPr>
          <w:p w14:paraId="00A0E736" w14:textId="77777777" w:rsidR="00B8277B" w:rsidRPr="00FC529F" w:rsidRDefault="00B8277B" w:rsidP="00F7751B">
            <w:pPr>
              <w:rPr>
                <w:rFonts w:ascii="Calibri" w:hAnsi="Calibri"/>
                <w:sz w:val="20"/>
              </w:rPr>
            </w:pPr>
            <w:r w:rsidRPr="00FC529F">
              <w:rPr>
                <w:rFonts w:ascii="Calibri" w:hAnsi="Calibri"/>
                <w:sz w:val="20"/>
              </w:rPr>
              <w:t>$200,000</w:t>
            </w:r>
          </w:p>
        </w:tc>
        <w:tc>
          <w:tcPr>
            <w:tcW w:w="1700" w:type="dxa"/>
            <w:tcBorders>
              <w:bottom w:val="single" w:sz="10" w:space="0" w:color="000000"/>
              <w:right w:val="single" w:sz="10" w:space="0" w:color="000000"/>
            </w:tcBorders>
            <w:tcMar>
              <w:top w:w="144" w:type="nil"/>
              <w:right w:w="144" w:type="nil"/>
            </w:tcMar>
          </w:tcPr>
          <w:p w14:paraId="37D2C11C" w14:textId="77777777" w:rsidR="00B8277B" w:rsidRPr="00FC529F" w:rsidRDefault="00B8277B" w:rsidP="00F7751B">
            <w:pPr>
              <w:rPr>
                <w:rFonts w:ascii="Calibri" w:hAnsi="Calibri"/>
                <w:sz w:val="20"/>
              </w:rPr>
            </w:pPr>
            <w:r w:rsidRPr="00FC529F">
              <w:rPr>
                <w:rFonts w:ascii="Calibri" w:hAnsi="Calibri"/>
                <w:sz w:val="20"/>
              </w:rPr>
              <w:t>32%</w:t>
            </w:r>
          </w:p>
        </w:tc>
      </w:tr>
      <w:tr w:rsidR="00B8277B" w:rsidRPr="00FC529F" w14:paraId="30CC837F" w14:textId="77777777" w:rsidTr="00F7751B">
        <w:tblPrEx>
          <w:tblBorders>
            <w:top w:val="none" w:sz="0" w:space="0" w:color="auto"/>
          </w:tblBorders>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610C171B" w14:textId="77777777" w:rsidR="00B8277B" w:rsidRPr="00FC529F" w:rsidRDefault="00B8277B" w:rsidP="00F7751B">
            <w:pPr>
              <w:rPr>
                <w:rFonts w:ascii="Calibri" w:hAnsi="Calibri"/>
                <w:sz w:val="20"/>
              </w:rPr>
            </w:pPr>
            <w:r w:rsidRPr="00FC529F">
              <w:rPr>
                <w:rFonts w:ascii="Calibri" w:hAnsi="Calibri"/>
                <w:sz w:val="20"/>
              </w:rPr>
              <w:t>$200,000</w:t>
            </w:r>
          </w:p>
        </w:tc>
        <w:tc>
          <w:tcPr>
            <w:tcW w:w="2040" w:type="dxa"/>
            <w:tcBorders>
              <w:bottom w:val="single" w:sz="10" w:space="0" w:color="000000"/>
              <w:right w:val="single" w:sz="10" w:space="0" w:color="000000"/>
            </w:tcBorders>
            <w:tcMar>
              <w:top w:w="144" w:type="nil"/>
              <w:right w:w="144" w:type="nil"/>
            </w:tcMar>
          </w:tcPr>
          <w:p w14:paraId="27DF6417" w14:textId="77777777" w:rsidR="00B8277B" w:rsidRPr="00FC529F" w:rsidRDefault="00B8277B" w:rsidP="00F7751B">
            <w:pPr>
              <w:rPr>
                <w:rFonts w:ascii="Calibri" w:hAnsi="Calibri"/>
                <w:sz w:val="20"/>
              </w:rPr>
            </w:pPr>
            <w:r w:rsidRPr="00FC529F">
              <w:rPr>
                <w:rFonts w:ascii="Calibri" w:hAnsi="Calibri"/>
                <w:sz w:val="20"/>
              </w:rPr>
              <w:t>$300,000</w:t>
            </w:r>
          </w:p>
        </w:tc>
        <w:tc>
          <w:tcPr>
            <w:tcW w:w="1700" w:type="dxa"/>
            <w:tcBorders>
              <w:bottom w:val="single" w:sz="10" w:space="0" w:color="000000"/>
              <w:right w:val="single" w:sz="10" w:space="0" w:color="000000"/>
            </w:tcBorders>
            <w:tcMar>
              <w:top w:w="144" w:type="nil"/>
              <w:right w:w="144" w:type="nil"/>
            </w:tcMar>
          </w:tcPr>
          <w:p w14:paraId="400F94CE" w14:textId="77777777" w:rsidR="00B8277B" w:rsidRPr="00FC529F" w:rsidRDefault="00B8277B" w:rsidP="00F7751B">
            <w:pPr>
              <w:rPr>
                <w:rFonts w:ascii="Calibri" w:hAnsi="Calibri"/>
                <w:sz w:val="20"/>
              </w:rPr>
            </w:pPr>
            <w:r w:rsidRPr="00FC529F">
              <w:rPr>
                <w:rFonts w:ascii="Calibri" w:hAnsi="Calibri"/>
                <w:sz w:val="20"/>
              </w:rPr>
              <w:t>35%</w:t>
            </w:r>
          </w:p>
        </w:tc>
      </w:tr>
      <w:tr w:rsidR="00B8277B" w:rsidRPr="00FC529F" w14:paraId="3CBC4184" w14:textId="77777777" w:rsidTr="00F7751B">
        <w:tblPrEx>
          <w:tblCellMar>
            <w:top w:w="0" w:type="dxa"/>
            <w:bottom w:w="0" w:type="dxa"/>
          </w:tblCellMar>
        </w:tblPrEx>
        <w:tc>
          <w:tcPr>
            <w:tcW w:w="2380" w:type="dxa"/>
            <w:tcBorders>
              <w:left w:val="single" w:sz="10" w:space="0" w:color="000000"/>
              <w:bottom w:val="single" w:sz="10" w:space="0" w:color="000000"/>
              <w:right w:val="single" w:sz="10" w:space="0" w:color="000000"/>
            </w:tcBorders>
            <w:tcMar>
              <w:top w:w="144" w:type="nil"/>
              <w:right w:w="144" w:type="nil"/>
            </w:tcMar>
          </w:tcPr>
          <w:p w14:paraId="30DD5EC1" w14:textId="77777777" w:rsidR="00B8277B" w:rsidRPr="00FC529F" w:rsidRDefault="00B8277B" w:rsidP="00F7751B">
            <w:pPr>
              <w:rPr>
                <w:rFonts w:ascii="Calibri" w:hAnsi="Calibri"/>
                <w:sz w:val="20"/>
              </w:rPr>
            </w:pPr>
            <w:r w:rsidRPr="00FC529F">
              <w:rPr>
                <w:rFonts w:ascii="Calibri" w:hAnsi="Calibri"/>
                <w:sz w:val="20"/>
              </w:rPr>
              <w:t>$300,000</w:t>
            </w:r>
          </w:p>
        </w:tc>
        <w:tc>
          <w:tcPr>
            <w:tcW w:w="2040" w:type="dxa"/>
            <w:tcBorders>
              <w:bottom w:val="single" w:sz="10" w:space="0" w:color="000000"/>
              <w:right w:val="single" w:sz="10" w:space="0" w:color="000000"/>
            </w:tcBorders>
            <w:tcMar>
              <w:top w:w="144" w:type="nil"/>
              <w:right w:w="144" w:type="nil"/>
            </w:tcMar>
          </w:tcPr>
          <w:p w14:paraId="3788CDC2" w14:textId="77777777" w:rsidR="00B8277B" w:rsidRPr="00FC529F" w:rsidRDefault="00B8277B" w:rsidP="00F7751B">
            <w:pPr>
              <w:rPr>
                <w:rFonts w:ascii="Calibri" w:hAnsi="Calibri"/>
                <w:sz w:val="20"/>
              </w:rPr>
            </w:pPr>
            <w:r w:rsidRPr="00FC529F">
              <w:rPr>
                <w:rFonts w:ascii="Calibri" w:hAnsi="Calibri"/>
                <w:sz w:val="20"/>
              </w:rPr>
              <w:t> </w:t>
            </w:r>
          </w:p>
        </w:tc>
        <w:tc>
          <w:tcPr>
            <w:tcW w:w="1700" w:type="dxa"/>
            <w:tcBorders>
              <w:bottom w:val="single" w:sz="10" w:space="0" w:color="000000"/>
              <w:right w:val="single" w:sz="10" w:space="0" w:color="000000"/>
            </w:tcBorders>
            <w:tcMar>
              <w:top w:w="144" w:type="nil"/>
              <w:right w:w="144" w:type="nil"/>
            </w:tcMar>
          </w:tcPr>
          <w:p w14:paraId="164A556F" w14:textId="77777777" w:rsidR="00B8277B" w:rsidRPr="00FC529F" w:rsidRDefault="00B8277B" w:rsidP="00F7751B">
            <w:pPr>
              <w:rPr>
                <w:rFonts w:ascii="Calibri" w:hAnsi="Calibri"/>
                <w:sz w:val="20"/>
              </w:rPr>
            </w:pPr>
            <w:r w:rsidRPr="00FC529F">
              <w:rPr>
                <w:rFonts w:ascii="Calibri" w:hAnsi="Calibri"/>
                <w:sz w:val="20"/>
              </w:rPr>
              <w:t>37%</w:t>
            </w:r>
          </w:p>
        </w:tc>
      </w:tr>
    </w:tbl>
    <w:p w14:paraId="1D2A35A7" w14:textId="77777777" w:rsidR="00B8277B" w:rsidRPr="00FC529F" w:rsidRDefault="00B8277B" w:rsidP="00B8277B">
      <w:pPr>
        <w:spacing w:before="100" w:beforeAutospacing="1" w:after="100" w:afterAutospacing="1"/>
        <w:rPr>
          <w:rFonts w:ascii="Calibri" w:hAnsi="Calibri"/>
          <w:color w:val="000000"/>
          <w:sz w:val="20"/>
        </w:rPr>
      </w:pPr>
      <w:r w:rsidRPr="00FC529F">
        <w:rPr>
          <w:rFonts w:ascii="Calibri" w:hAnsi="Calibri"/>
          <w:b/>
          <w:bCs/>
          <w:color w:val="000000"/>
          <w:sz w:val="20"/>
        </w:rPr>
        <w:t>Key changes for small businesses:</w:t>
      </w:r>
    </w:p>
    <w:p w14:paraId="77591331" w14:textId="77777777" w:rsidR="00B8277B" w:rsidRPr="00FC529F" w:rsidRDefault="00B8277B" w:rsidP="00B8277B">
      <w:pPr>
        <w:numPr>
          <w:ilvl w:val="0"/>
          <w:numId w:val="1"/>
        </w:numPr>
        <w:spacing w:before="100" w:beforeAutospacing="1" w:after="100" w:afterAutospacing="1"/>
        <w:rPr>
          <w:rFonts w:ascii="Calibri" w:eastAsia="Times New Roman" w:hAnsi="Calibri"/>
          <w:color w:val="000000"/>
          <w:sz w:val="20"/>
        </w:rPr>
      </w:pPr>
      <w:r w:rsidRPr="00FC529F">
        <w:rPr>
          <w:rFonts w:ascii="Calibri" w:eastAsia="Times New Roman" w:hAnsi="Calibri"/>
          <w:b/>
          <w:bCs/>
          <w:color w:val="000000"/>
          <w:sz w:val="20"/>
        </w:rPr>
        <w:t>Cuts the corporate tax rate:</w:t>
      </w:r>
      <w:r w:rsidRPr="00FC529F">
        <w:rPr>
          <w:rFonts w:ascii="Calibri" w:eastAsia="Times New Roman" w:hAnsi="Calibri"/>
          <w:color w:val="000000"/>
          <w:sz w:val="20"/>
        </w:rPr>
        <w:t xml:space="preserve"> Corporate tax gets cut and simplified to a flat 21 percent rate, changed from a multi-bracket structure with a 35 percent top rate.</w:t>
      </w:r>
    </w:p>
    <w:p w14:paraId="2F42429A"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bCs/>
          <w:color w:val="000000"/>
          <w:sz w:val="20"/>
        </w:rPr>
        <w:t>Reduces pass-through taxes:</w:t>
      </w:r>
      <w:r w:rsidRPr="00FC529F">
        <w:rPr>
          <w:rFonts w:ascii="Calibri" w:eastAsia="Times New Roman" w:hAnsi="Calibri"/>
          <w:color w:val="000000"/>
          <w:sz w:val="20"/>
        </w:rPr>
        <w:t xml:space="preserve"> Most owners of pass-through entities such as S corporations, partnerships and sole proprietorships will see their income tax lowered with a new 20 percent income reduction calculation.</w:t>
      </w:r>
    </w:p>
    <w:p w14:paraId="1C01D4E8"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Beefs up capital expensing: </w:t>
      </w:r>
      <w:r w:rsidRPr="00FC529F">
        <w:rPr>
          <w:rFonts w:ascii="Calibri" w:eastAsia="Times New Roman" w:hAnsi="Calibri"/>
          <w:color w:val="000000"/>
          <w:sz w:val="20"/>
        </w:rPr>
        <w:t xml:space="preserve">Through 2022, short-lived capital investments in such items as machinery and equipment may be fully expensed as soon as they are placed in service, using bonus depreciation. This now also applies to used items instead of only new ones; they just need to be placed in service for the first time in your business. After 2022, allowable bonus depreciation is then lowered incrementally over the next four years. </w:t>
      </w:r>
    </w:p>
    <w:p w14:paraId="0D517C49"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Strengthens Section 179 deduction:</w:t>
      </w:r>
      <w:r w:rsidRPr="00FC529F">
        <w:rPr>
          <w:rFonts w:ascii="Calibri" w:eastAsia="Times New Roman" w:hAnsi="Calibri"/>
          <w:color w:val="000000"/>
          <w:sz w:val="20"/>
        </w:rPr>
        <w:t xml:space="preserve"> Section 179 deduction limits get raised to enable expensing of up to $1 million, and the phaseout threshold increases to $2.5 million. Section 179 may now also be used on expenses related to improvements to nonresidential real estate.</w:t>
      </w:r>
    </w:p>
    <w:p w14:paraId="0A19B23F"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Nixes the corporate alternative minimum tax (AMT): </w:t>
      </w:r>
      <w:r w:rsidRPr="00FC529F">
        <w:rPr>
          <w:rFonts w:ascii="Calibri" w:eastAsia="Times New Roman" w:hAnsi="Calibri"/>
          <w:color w:val="000000"/>
          <w:sz w:val="20"/>
        </w:rPr>
        <w:t>The 20 percent corporate AMT applied to businesses goes away entirely.</w:t>
      </w:r>
    </w:p>
    <w:p w14:paraId="16D7D76E" w14:textId="77777777" w:rsidR="00B8277B" w:rsidRPr="00FC529F" w:rsidRDefault="007E1443" w:rsidP="00B8277B">
      <w:pPr>
        <w:numPr>
          <w:ilvl w:val="0"/>
          <w:numId w:val="1"/>
        </w:numPr>
        <w:spacing w:before="100" w:beforeAutospacing="1" w:after="240"/>
        <w:contextualSpacing/>
        <w:rPr>
          <w:rFonts w:ascii="Calibri" w:eastAsia="Times New Roman" w:hAnsi="Calibri"/>
          <w:color w:val="000000"/>
          <w:sz w:val="20"/>
        </w:rPr>
      </w:pPr>
      <w:r>
        <w:rPr>
          <w:rFonts w:ascii="Calibri" w:eastAsia="Times New Roman" w:hAnsi="Calibri"/>
          <w:b/>
          <w:color w:val="000000"/>
          <w:sz w:val="20"/>
        </w:rPr>
        <w:pict w14:anchorId="224F836C">
          <v:shape id="_x0000_s1033" type="#_x0000_t75" style="position:absolute;left:0;text-align:left;margin-left:3.5pt;margin-top:706.1pt;width:608.5pt;height:85.9pt;z-index:251662336;mso-wrap-edited:f;mso-position-horizontal-relative:page;mso-position-vertical-relative:page" wrapcoords="-37 0 -37 21066 21600 21066 21600 0 -37 0">
            <v:imagedata r:id="rId9" o:title="NOA-ltrhd2ND-olRGB-2017-01"/>
            <w10:wrap type="through"/>
          </v:shape>
        </w:pict>
      </w:r>
      <w:r w:rsidR="00B8277B" w:rsidRPr="00FC529F">
        <w:rPr>
          <w:rFonts w:ascii="Calibri" w:eastAsia="Times New Roman" w:hAnsi="Calibri"/>
          <w:b/>
          <w:color w:val="000000"/>
          <w:sz w:val="20"/>
        </w:rPr>
        <w:t>Expands use of cash-method accounting</w:t>
      </w:r>
      <w:r w:rsidR="00B8277B" w:rsidRPr="00FC529F">
        <w:rPr>
          <w:rFonts w:ascii="Calibri" w:eastAsia="Times New Roman" w:hAnsi="Calibri"/>
          <w:color w:val="000000"/>
          <w:sz w:val="20"/>
        </w:rPr>
        <w:t>: Businesses with less than $25 million in gross receipts over the last three years may adopt the cash method of accounting.</w:t>
      </w:r>
    </w:p>
    <w:p w14:paraId="717067CE"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 xml:space="preserve">Repeals business entertainment deduction: </w:t>
      </w:r>
      <w:r w:rsidRPr="00FC529F">
        <w:rPr>
          <w:rFonts w:ascii="Calibri" w:eastAsia="Times New Roman" w:hAnsi="Calibri"/>
          <w:color w:val="000000"/>
          <w:sz w:val="20"/>
        </w:rPr>
        <w:t>Businesses will no longer be able to deduct 50 percent of the cost of entertainment, amusement or recreation directly related to their trade or business. The 50 percent deduction for business-related meals remains in place, however.</w:t>
      </w:r>
    </w:p>
    <w:p w14:paraId="004B49AB" w14:textId="77777777" w:rsidR="00B8277B" w:rsidRPr="00FC529F" w:rsidRDefault="00B8277B" w:rsidP="00B8277B">
      <w:pPr>
        <w:numPr>
          <w:ilvl w:val="0"/>
          <w:numId w:val="1"/>
        </w:numPr>
        <w:spacing w:before="100" w:beforeAutospacing="1" w:after="240"/>
        <w:contextualSpacing/>
        <w:rPr>
          <w:rFonts w:ascii="Calibri" w:eastAsia="Times New Roman" w:hAnsi="Calibri"/>
          <w:color w:val="000000"/>
          <w:sz w:val="20"/>
        </w:rPr>
      </w:pPr>
      <w:r w:rsidRPr="00FC529F">
        <w:rPr>
          <w:rFonts w:ascii="Calibri" w:eastAsia="Times New Roman" w:hAnsi="Calibri"/>
          <w:b/>
          <w:color w:val="000000"/>
          <w:sz w:val="20"/>
        </w:rPr>
        <w:t>Boosts luxury automobile depreciation:</w:t>
      </w:r>
      <w:r w:rsidRPr="00FC529F">
        <w:rPr>
          <w:rFonts w:ascii="Calibri" w:eastAsia="Times New Roman" w:hAnsi="Calibri"/>
          <w:color w:val="000000"/>
          <w:sz w:val="20"/>
        </w:rPr>
        <w:t xml:space="preserve"> Luxury automobiles placed in service after 2017 will have allowable depreciation of $10,000 for the first year, $16,000 the second, $9,600 the third and $5,760 for subsequent years.</w:t>
      </w:r>
    </w:p>
    <w:p w14:paraId="6355D419" w14:textId="77777777" w:rsidR="003A5F3C" w:rsidRDefault="003A5F3C" w:rsidP="003A5F3C">
      <w:pPr>
        <w:spacing w:before="100" w:beforeAutospacing="1" w:after="240"/>
        <w:rPr>
          <w:rFonts w:ascii="Calibri" w:hAnsi="Calibri"/>
          <w:bCs/>
          <w:color w:val="000000"/>
          <w:sz w:val="20"/>
        </w:rPr>
      </w:pPr>
    </w:p>
    <w:p w14:paraId="6EB6BF03" w14:textId="77777777" w:rsidR="00DB56BD" w:rsidRPr="003A5F3C" w:rsidRDefault="003A5F3C" w:rsidP="003A5F3C">
      <w:pPr>
        <w:spacing w:before="100" w:beforeAutospacing="1" w:after="240"/>
        <w:rPr>
          <w:rFonts w:ascii="Calibri" w:hAnsi="Calibri"/>
          <w:color w:val="000000"/>
          <w:sz w:val="20"/>
        </w:rPr>
      </w:pPr>
      <w:r>
        <w:rPr>
          <w:i/>
          <w:sz w:val="20"/>
        </w:rPr>
        <w:pict w14:anchorId="5F7198F4">
          <v:shape id="_x0000_s1031" type="#_x0000_t75" style="position:absolute;margin-left:1.75pt;margin-top:704.1pt;width:608.5pt;height:85.9pt;z-index:251660288;mso-wrap-edited:f;mso-position-horizontal-relative:page;mso-position-vertical-relative:page" wrapcoords="-37 0 -37 21066 21600 21066 21600 0 -37 0">
            <v:imagedata r:id="rId10" o:title="NOA-ltrhd2ND-olRGB-2017-01"/>
            <w10:wrap type="through"/>
          </v:shape>
        </w:pict>
      </w:r>
      <w:r>
        <w:rPr>
          <w:i/>
          <w:sz w:val="20"/>
        </w:rPr>
        <w:pict w14:anchorId="2405B6DD">
          <v:shape id="_x0000_s1030" type="#_x0000_t75" style="position:absolute;margin-left:1.75pt;margin-top:703.1pt;width:608.5pt;height:85.9pt;z-index:251659264;mso-wrap-edited:f;mso-position-horizontal-relative:page;mso-position-vertical-relative:page" wrapcoords="-37 0 -37 21066 21600 21066 21600 0 -37 0">
            <v:imagedata r:id="rId11" o:title="NOA-ltrhd2ND-olRGB-2017-01"/>
            <w10:wrap type="through"/>
          </v:shape>
        </w:pict>
      </w:r>
      <w:r w:rsidR="00B8277B" w:rsidRPr="00FC529F">
        <w:rPr>
          <w:rFonts w:ascii="Calibri" w:hAnsi="Calibri"/>
          <w:bCs/>
          <w:color w:val="000000"/>
          <w:sz w:val="20"/>
        </w:rPr>
        <w:t>Any major financial</w:t>
      </w:r>
      <w:r w:rsidR="00B8277B" w:rsidRPr="00846E51">
        <w:rPr>
          <w:rFonts w:ascii="Calibri" w:hAnsi="Calibri"/>
          <w:color w:val="000000"/>
          <w:sz w:val="20"/>
        </w:rPr>
        <w:t xml:space="preserve"> decisions or tax-planning activities should be considered with the advice of a tax professional. </w:t>
      </w:r>
      <w:bookmarkStart w:id="0" w:name="_GoBack"/>
      <w:r w:rsidR="00B8277B" w:rsidRPr="00846E51">
        <w:rPr>
          <w:rFonts w:ascii="Calibri" w:hAnsi="Calibri"/>
          <w:color w:val="000000"/>
          <w:sz w:val="20"/>
        </w:rPr>
        <w:t>Contact us if you have any questions regarding your particular situation.</w:t>
      </w:r>
      <w:r w:rsidR="00B8277B">
        <w:rPr>
          <w:rFonts w:ascii="Calibri" w:hAnsi="Calibri"/>
          <w:color w:val="000000"/>
          <w:sz w:val="20"/>
        </w:rPr>
        <w:t xml:space="preserve"> Feel free to share this summary with those you think would benefit from it. </w:t>
      </w:r>
      <w:bookmarkEnd w:id="0"/>
    </w:p>
    <w:sectPr w:rsidR="00DB56BD" w:rsidRPr="003A5F3C" w:rsidSect="00DB56BD">
      <w:pgSz w:w="12240" w:h="15840"/>
      <w:pgMar w:top="63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126CB6D" w14:textId="77777777" w:rsidR="007E1443" w:rsidRDefault="007E1443" w:rsidP="008315D3">
      <w:r>
        <w:separator/>
      </w:r>
    </w:p>
  </w:endnote>
  <w:endnote w:type="continuationSeparator" w:id="0">
    <w:p w14:paraId="3CB7F166" w14:textId="77777777" w:rsidR="007E1443" w:rsidRDefault="007E1443" w:rsidP="0083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MS Gothic">
    <w:altName w:val="Arial Unicode MS"/>
    <w:charset w:val="80"/>
    <w:family w:val="modern"/>
    <w:pitch w:val="fixed"/>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A44F72F" w14:textId="77777777" w:rsidR="007E1443" w:rsidRDefault="007E1443" w:rsidP="008315D3">
      <w:r>
        <w:separator/>
      </w:r>
    </w:p>
  </w:footnote>
  <w:footnote w:type="continuationSeparator" w:id="0">
    <w:p w14:paraId="21AFB728" w14:textId="77777777" w:rsidR="007E1443" w:rsidRDefault="007E1443" w:rsidP="008315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2C4E23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E10BE9"/>
    <w:multiLevelType w:val="hybridMultilevel"/>
    <w:tmpl w:val="78805C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C526FE"/>
    <w:multiLevelType w:val="hybridMultilevel"/>
    <w:tmpl w:val="30C67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PubVPasteboard_" w:val="11"/>
  </w:docVars>
  <w:rsids>
    <w:rsidRoot w:val="00BB56E9"/>
    <w:rsid w:val="00077F9C"/>
    <w:rsid w:val="003A5F3C"/>
    <w:rsid w:val="004809E5"/>
    <w:rsid w:val="005B2018"/>
    <w:rsid w:val="007E1443"/>
    <w:rsid w:val="008315D3"/>
    <w:rsid w:val="00961F14"/>
    <w:rsid w:val="00A06B5F"/>
    <w:rsid w:val="00B61978"/>
    <w:rsid w:val="00B8277B"/>
    <w:rsid w:val="00BB56E9"/>
    <w:rsid w:val="00C9377F"/>
    <w:rsid w:val="00DB56BD"/>
    <w:rsid w:val="00F7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6E293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rPr>
      <w:rFonts w:ascii="Arial" w:eastAsia="Times New Roman" w:hAnsi="Arial"/>
      <w:sz w:val="18"/>
    </w:rPr>
  </w:style>
  <w:style w:type="character" w:styleId="Hyperlink">
    <w:name w:val="Hyperlink"/>
    <w:rPr>
      <w:color w:val="0000FF"/>
      <w:u w:val="single"/>
    </w:rPr>
  </w:style>
  <w:style w:type="paragraph" w:styleId="Header">
    <w:name w:val="header"/>
    <w:basedOn w:val="Normal"/>
    <w:link w:val="HeaderChar"/>
    <w:uiPriority w:val="99"/>
    <w:unhideWhenUsed/>
    <w:rsid w:val="008315D3"/>
    <w:pPr>
      <w:tabs>
        <w:tab w:val="center" w:pos="4320"/>
        <w:tab w:val="right" w:pos="8640"/>
      </w:tabs>
    </w:pPr>
  </w:style>
  <w:style w:type="character" w:customStyle="1" w:styleId="HeaderChar">
    <w:name w:val="Header Char"/>
    <w:link w:val="Header"/>
    <w:uiPriority w:val="99"/>
    <w:rsid w:val="008315D3"/>
    <w:rPr>
      <w:noProof/>
      <w:sz w:val="24"/>
    </w:rPr>
  </w:style>
  <w:style w:type="paragraph" w:styleId="Footer">
    <w:name w:val="footer"/>
    <w:basedOn w:val="Normal"/>
    <w:link w:val="FooterChar"/>
    <w:uiPriority w:val="99"/>
    <w:unhideWhenUsed/>
    <w:rsid w:val="008315D3"/>
    <w:pPr>
      <w:tabs>
        <w:tab w:val="center" w:pos="4320"/>
        <w:tab w:val="right" w:pos="8640"/>
      </w:tabs>
    </w:pPr>
  </w:style>
  <w:style w:type="character" w:customStyle="1" w:styleId="FooterChar">
    <w:name w:val="Footer Char"/>
    <w:link w:val="Footer"/>
    <w:uiPriority w:val="99"/>
    <w:rsid w:val="008315D3"/>
    <w:rPr>
      <w:noProof/>
      <w:sz w:val="24"/>
    </w:rPr>
  </w:style>
  <w:style w:type="paragraph" w:styleId="BalloonText">
    <w:name w:val="Balloon Text"/>
    <w:basedOn w:val="Normal"/>
    <w:link w:val="BalloonTextChar"/>
    <w:uiPriority w:val="99"/>
    <w:semiHidden/>
    <w:unhideWhenUsed/>
    <w:rsid w:val="00961F14"/>
    <w:rPr>
      <w:rFonts w:ascii="Segoe UI" w:hAnsi="Segoe UI" w:cs="Segoe UI"/>
      <w:sz w:val="18"/>
      <w:szCs w:val="18"/>
    </w:rPr>
  </w:style>
  <w:style w:type="character" w:customStyle="1" w:styleId="BalloonTextChar">
    <w:name w:val="Balloon Text Char"/>
    <w:link w:val="BalloonText"/>
    <w:uiPriority w:val="99"/>
    <w:semiHidden/>
    <w:rsid w:val="00961F14"/>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1144</Words>
  <Characters>6523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Trial User</dc:creator>
  <cp:keywords/>
  <cp:lastModifiedBy>Robyn Rolfes</cp:lastModifiedBy>
  <cp:revision>4</cp:revision>
  <cp:lastPrinted>2018-01-04T23:48:00Z</cp:lastPrinted>
  <dcterms:created xsi:type="dcterms:W3CDTF">2018-01-05T00:02:00Z</dcterms:created>
  <dcterms:modified xsi:type="dcterms:W3CDTF">2018-01-05T03:40:00Z</dcterms:modified>
</cp:coreProperties>
</file>